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7A753" w14:textId="6B253C47" w:rsidR="001904EB" w:rsidRPr="001904EB" w:rsidRDefault="001904EB" w:rsidP="001904EB">
      <w:pPr>
        <w:jc w:val="center"/>
        <w:rPr>
          <w:rFonts w:ascii="Book Antiqua" w:eastAsia="Book Antiqua" w:hAnsi="Book Antiqua" w:cs="Book Antiqua"/>
          <w:b/>
          <w:bCs/>
          <w:i/>
          <w:iCs/>
          <w:sz w:val="36"/>
          <w:szCs w:val="36"/>
          <w:lang w:val="en-ID"/>
        </w:rPr>
      </w:pPr>
      <w:r w:rsidRPr="001904EB">
        <w:rPr>
          <w:rFonts w:ascii="Book Antiqua" w:eastAsia="Book Antiqua" w:hAnsi="Book Antiqua" w:cs="Book Antiqua"/>
          <w:b/>
          <w:bCs/>
          <w:i/>
          <w:iCs/>
          <w:sz w:val="36"/>
          <w:szCs w:val="36"/>
          <w:lang w:val="en-ID"/>
        </w:rPr>
        <w:t xml:space="preserve">Indonesia-UK Cooperation in Promoting Carbon Markets and </w:t>
      </w:r>
      <w:r w:rsidR="00C30741">
        <w:rPr>
          <w:rFonts w:ascii="Book Antiqua" w:eastAsia="Book Antiqua" w:hAnsi="Book Antiqua" w:cs="Book Antiqua"/>
          <w:b/>
          <w:bCs/>
          <w:i/>
          <w:iCs/>
          <w:sz w:val="36"/>
          <w:szCs w:val="36"/>
          <w:lang w:val="en-ID"/>
        </w:rPr>
        <w:t xml:space="preserve">Just </w:t>
      </w:r>
      <w:r w:rsidRPr="001904EB">
        <w:rPr>
          <w:rFonts w:ascii="Book Antiqua" w:eastAsia="Book Antiqua" w:hAnsi="Book Antiqua" w:cs="Book Antiqua"/>
          <w:b/>
          <w:bCs/>
          <w:i/>
          <w:iCs/>
          <w:sz w:val="36"/>
          <w:szCs w:val="36"/>
          <w:lang w:val="en-ID"/>
        </w:rPr>
        <w:t>Energy Transition</w:t>
      </w:r>
    </w:p>
    <w:p w14:paraId="00000003" w14:textId="55CD1493" w:rsidR="00EF2B5C" w:rsidRDefault="001904EB">
      <w:pPr>
        <w:jc w:val="center"/>
        <w:rPr>
          <w:rFonts w:ascii="Book Antiqua" w:eastAsia="Book Antiqua" w:hAnsi="Book Antiqua" w:cs="Book Antiqua"/>
        </w:rPr>
      </w:pPr>
      <w:r>
        <w:rPr>
          <w:rFonts w:ascii="Book Antiqua" w:eastAsia="Book Antiqua" w:hAnsi="Book Antiqua" w:cs="Book Antiqua"/>
        </w:rPr>
        <w:t xml:space="preserve">Diyah Pitaloka Rizki </w:t>
      </w:r>
      <w:r>
        <w:rPr>
          <w:rFonts w:ascii="Book Antiqua" w:eastAsia="Book Antiqua" w:hAnsi="Book Antiqua" w:cs="Book Antiqua"/>
          <w:vertAlign w:val="superscript"/>
        </w:rPr>
        <w:t>1</w:t>
      </w:r>
      <w:r>
        <w:rPr>
          <w:rFonts w:ascii="Book Antiqua" w:eastAsia="Book Antiqua" w:hAnsi="Book Antiqua" w:cs="Book Antiqua"/>
        </w:rPr>
        <w:t xml:space="preserve">, </w:t>
      </w:r>
      <w:r w:rsidRPr="001904EB">
        <w:rPr>
          <w:rFonts w:ascii="Book Antiqua" w:eastAsia="Book Antiqua" w:hAnsi="Book Antiqua" w:cs="Book Antiqua"/>
        </w:rPr>
        <w:t>Rasel Mochamad Efendi</w:t>
      </w:r>
      <w:r>
        <w:rPr>
          <w:rFonts w:ascii="Book Antiqua" w:eastAsia="Book Antiqua" w:hAnsi="Book Antiqua" w:cs="Book Antiqua"/>
          <w:vertAlign w:val="superscript"/>
        </w:rPr>
        <w:t>2</w:t>
      </w:r>
    </w:p>
    <w:p w14:paraId="07F7142D" w14:textId="41D2CBBB" w:rsidR="001904EB" w:rsidRDefault="001904EB" w:rsidP="001904EB">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12</w:t>
      </w:r>
      <w:r>
        <w:rPr>
          <w:rFonts w:ascii="Book Antiqua" w:eastAsia="Book Antiqua" w:hAnsi="Book Antiqua" w:cs="Book Antiqua"/>
          <w:sz w:val="16"/>
          <w:szCs w:val="16"/>
        </w:rPr>
        <w:t>International Relations, Al Ghifari University, Bandung, Indonesia.</w:t>
      </w:r>
    </w:p>
    <w:p w14:paraId="2CCDA7F7" w14:textId="77777777" w:rsidR="001904EB" w:rsidRDefault="001904EB" w:rsidP="001904EB">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rPr>
        <w:t>*Email:</w:t>
      </w:r>
    </w:p>
    <w:p w14:paraId="00000009" w14:textId="1100FED1" w:rsidR="00EF2B5C" w:rsidRDefault="001904EB">
      <w:pPr>
        <w:jc w:val="center"/>
        <w:rPr>
          <w:rFonts w:ascii="Book Antiqua" w:eastAsia="Book Antiqua" w:hAnsi="Book Antiqua" w:cs="Book Antiqua"/>
          <w:sz w:val="16"/>
          <w:szCs w:val="16"/>
        </w:rPr>
      </w:pPr>
      <w:r w:rsidRPr="001904EB">
        <w:rPr>
          <w:rFonts w:ascii="Book Antiqua" w:eastAsia="Book Antiqua" w:hAnsi="Book Antiqua" w:cs="Book Antiqua"/>
          <w:sz w:val="16"/>
          <w:szCs w:val="16"/>
          <w:vertAlign w:val="superscript"/>
        </w:rPr>
        <w:t>12</w:t>
      </w:r>
      <w:hyperlink r:id="rId8" w:history="1">
        <w:r w:rsidRPr="00054B4D">
          <w:rPr>
            <w:rStyle w:val="Hyperlink"/>
            <w:rFonts w:ascii="Book Antiqua" w:eastAsia="Book Antiqua" w:hAnsi="Book Antiqua" w:cs="Book Antiqua"/>
            <w:sz w:val="16"/>
            <w:szCs w:val="16"/>
          </w:rPr>
          <w:t>diyahpitaloka801@gmail.com</w:t>
        </w:r>
      </w:hyperlink>
      <w:r>
        <w:rPr>
          <w:rFonts w:ascii="Book Antiqua" w:eastAsia="Book Antiqua" w:hAnsi="Book Antiqua" w:cs="Book Antiqua"/>
          <w:sz w:val="16"/>
          <w:szCs w:val="16"/>
        </w:rPr>
        <w:t xml:space="preserve">, </w:t>
      </w:r>
      <w:hyperlink r:id="rId9" w:history="1">
        <w:r w:rsidRPr="00054B4D">
          <w:rPr>
            <w:rStyle w:val="Hyperlink"/>
            <w:rFonts w:ascii="Book Antiqua" w:eastAsia="Book Antiqua" w:hAnsi="Book Antiqua" w:cs="Book Antiqua"/>
            <w:sz w:val="16"/>
            <w:szCs w:val="16"/>
          </w:rPr>
          <w:t>efendirasel@gmail.com</w:t>
        </w:r>
      </w:hyperlink>
      <w:r>
        <w:rPr>
          <w:rFonts w:ascii="Book Antiqua" w:eastAsia="Book Antiqua" w:hAnsi="Book Antiqua" w:cs="Book Antiqua"/>
          <w:sz w:val="16"/>
          <w:szCs w:val="16"/>
        </w:rPr>
        <w:t xml:space="preserve"> </w:t>
      </w:r>
    </w:p>
    <w:p w14:paraId="0000000B" w14:textId="77777777" w:rsidR="00EF2B5C" w:rsidRDefault="00EF2B5C">
      <w:pPr>
        <w:ind w:left="-105"/>
        <w:jc w:val="both"/>
        <w:rPr>
          <w:rFonts w:ascii="Book Antiqua" w:eastAsia="Book Antiqua" w:hAnsi="Book Antiqua" w:cs="Book Antiqua"/>
          <w:sz w:val="16"/>
          <w:szCs w:val="16"/>
        </w:rPr>
      </w:pPr>
    </w:p>
    <w:p w14:paraId="6871C175" w14:textId="77777777" w:rsidR="001904EB" w:rsidRDefault="00000000">
      <w:pPr>
        <w:ind w:left="1418" w:right="1418"/>
        <w:jc w:val="both"/>
        <w:rPr>
          <w:rFonts w:ascii="Book Antiqua" w:eastAsia="Book Antiqua" w:hAnsi="Book Antiqua" w:cs="Book Antiqua"/>
          <w:b/>
          <w:sz w:val="18"/>
          <w:szCs w:val="18"/>
        </w:rPr>
      </w:pPr>
      <w:r>
        <w:rPr>
          <w:rFonts w:ascii="Book Antiqua" w:eastAsia="Book Antiqua" w:hAnsi="Book Antiqua" w:cs="Book Antiqua"/>
          <w:b/>
          <w:sz w:val="18"/>
          <w:szCs w:val="18"/>
        </w:rPr>
        <w:t>Abstract</w:t>
      </w:r>
    </w:p>
    <w:p w14:paraId="0000000C" w14:textId="4C3D0B86" w:rsidR="00EF2B5C" w:rsidRPr="004876E7" w:rsidRDefault="001904EB" w:rsidP="004876E7">
      <w:pPr>
        <w:ind w:left="1418" w:right="1418"/>
        <w:jc w:val="both"/>
        <w:rPr>
          <w:rFonts w:ascii="Book Antiqua" w:eastAsia="Book Antiqua" w:hAnsi="Book Antiqua" w:cs="Book Antiqua"/>
          <w:sz w:val="18"/>
          <w:szCs w:val="18"/>
          <w:lang w:val="en-ID"/>
        </w:rPr>
      </w:pPr>
      <w:r w:rsidRPr="001904EB">
        <w:rPr>
          <w:rFonts w:ascii="Book Antiqua" w:eastAsia="Book Antiqua" w:hAnsi="Book Antiqua" w:cs="Book Antiqua"/>
          <w:sz w:val="18"/>
          <w:szCs w:val="18"/>
          <w:lang w:val="en-ID"/>
        </w:rPr>
        <w:t xml:space="preserve">Cooperation between countries is </w:t>
      </w:r>
      <w:r w:rsidR="00A227CB">
        <w:rPr>
          <w:rFonts w:ascii="Book Antiqua" w:eastAsia="Book Antiqua" w:hAnsi="Book Antiqua" w:cs="Book Antiqua"/>
          <w:sz w:val="18"/>
          <w:szCs w:val="18"/>
          <w:lang w:val="en-ID"/>
        </w:rPr>
        <w:t>crucial in addressing</w:t>
      </w:r>
      <w:r w:rsidRPr="001904EB">
        <w:rPr>
          <w:rFonts w:ascii="Book Antiqua" w:eastAsia="Book Antiqua" w:hAnsi="Book Antiqua" w:cs="Book Antiqua"/>
          <w:sz w:val="18"/>
          <w:szCs w:val="18"/>
          <w:lang w:val="en-ID"/>
        </w:rPr>
        <w:t xml:space="preserve"> the serious problem of climate change. This study aims to explain how Indonesia and the United Kingdom work together to support carbon markets and a just energy transition. The method </w:t>
      </w:r>
      <w:r w:rsidR="00B11F8C">
        <w:rPr>
          <w:rFonts w:ascii="Book Antiqua" w:eastAsia="Book Antiqua" w:hAnsi="Book Antiqua" w:cs="Book Antiqua"/>
          <w:sz w:val="18"/>
          <w:szCs w:val="18"/>
          <w:lang w:val="en-ID"/>
        </w:rPr>
        <w:t>employed is a qualitative approach, utilizing case studies and document analysis, supported by institutional liberalism theory and international cooperation,</w:t>
      </w:r>
      <w:r w:rsidRPr="001904EB">
        <w:rPr>
          <w:rFonts w:ascii="Book Antiqua" w:eastAsia="Book Antiqua" w:hAnsi="Book Antiqua" w:cs="Book Antiqua"/>
          <w:sz w:val="18"/>
          <w:szCs w:val="18"/>
          <w:lang w:val="en-ID"/>
        </w:rPr>
        <w:t xml:space="preserve"> to understand how both countries cooperate. The results show that the cooperation helped improve Indonesia’s carbon emission recording system through SPEI, gave financial support through the UK PACT program, and shared knowledge about renewable energy. Indonesia also had the chance to strengthen its policies on clean energy and </w:t>
      </w:r>
      <w:r w:rsidR="00B11F8C">
        <w:rPr>
          <w:rFonts w:ascii="Book Antiqua" w:eastAsia="Book Antiqua" w:hAnsi="Book Antiqua" w:cs="Book Antiqua"/>
          <w:sz w:val="18"/>
          <w:szCs w:val="18"/>
          <w:lang w:val="en-ID"/>
        </w:rPr>
        <w:t>reduce</w:t>
      </w:r>
      <w:r w:rsidRPr="001904EB">
        <w:rPr>
          <w:rFonts w:ascii="Book Antiqua" w:eastAsia="Book Antiqua" w:hAnsi="Book Antiqua" w:cs="Book Antiqua"/>
          <w:sz w:val="18"/>
          <w:szCs w:val="18"/>
          <w:lang w:val="en-ID"/>
        </w:rPr>
        <w:t xml:space="preserve"> greenhouse gas emissions. The UK encouraged Indonesia to make the energy transition in a way that also supports social justice and sustainable development. This cooperation </w:t>
      </w:r>
      <w:r w:rsidR="00A227CB">
        <w:rPr>
          <w:rFonts w:ascii="Book Antiqua" w:eastAsia="Book Antiqua" w:hAnsi="Book Antiqua" w:cs="Book Antiqua"/>
          <w:sz w:val="18"/>
          <w:szCs w:val="18"/>
          <w:lang w:val="en-ID"/>
        </w:rPr>
        <w:t>offers benefits to both countries, despite some challenges, including technical readiness and differing</w:t>
      </w:r>
      <w:r w:rsidRPr="001904EB">
        <w:rPr>
          <w:rFonts w:ascii="Book Antiqua" w:eastAsia="Book Antiqua" w:hAnsi="Book Antiqua" w:cs="Book Antiqua"/>
          <w:sz w:val="18"/>
          <w:szCs w:val="18"/>
          <w:lang w:val="en-ID"/>
        </w:rPr>
        <w:t xml:space="preserve"> domestic policies. Overall, this cooperation brings positive impacts for Indonesia, such as better access to funding, new technology, and a stronger role in international climate diplomacy.</w:t>
      </w:r>
    </w:p>
    <w:p w14:paraId="0000000E" w14:textId="77777777" w:rsidR="00EF2B5C" w:rsidRDefault="00EF2B5C">
      <w:pPr>
        <w:ind w:left="1418" w:right="1418"/>
        <w:rPr>
          <w:rFonts w:ascii="Book Antiqua" w:eastAsia="Book Antiqua" w:hAnsi="Book Antiqua" w:cs="Book Antiqua"/>
          <w:sz w:val="18"/>
          <w:szCs w:val="18"/>
        </w:rPr>
      </w:pPr>
    </w:p>
    <w:p w14:paraId="0000000F" w14:textId="117AFE22" w:rsidR="00EF2B5C" w:rsidRDefault="00000000" w:rsidP="00B47CC7">
      <w:pPr>
        <w:spacing w:after="0" w:line="276" w:lineRule="auto"/>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4876E7" w:rsidRPr="004876E7">
        <w:rPr>
          <w:rFonts w:ascii="Book Antiqua" w:eastAsia="Book Antiqua" w:hAnsi="Book Antiqua" w:cs="Book Antiqua"/>
          <w:sz w:val="18"/>
          <w:szCs w:val="18"/>
        </w:rPr>
        <w:t xml:space="preserve">Indonesia, United Kingdom, </w:t>
      </w:r>
      <w:r w:rsidR="004876E7">
        <w:rPr>
          <w:rFonts w:ascii="Book Antiqua" w:eastAsia="Book Antiqua" w:hAnsi="Book Antiqua" w:cs="Book Antiqua"/>
          <w:sz w:val="18"/>
          <w:szCs w:val="18"/>
        </w:rPr>
        <w:t>Institutional Liberalism, International Cooperations</w:t>
      </w:r>
      <w:r w:rsidR="004876E7" w:rsidRPr="004876E7">
        <w:rPr>
          <w:rFonts w:ascii="Book Antiqua" w:eastAsia="Book Antiqua" w:hAnsi="Book Antiqua" w:cs="Book Antiqua"/>
          <w:sz w:val="18"/>
          <w:szCs w:val="18"/>
        </w:rPr>
        <w:t xml:space="preserve">, </w:t>
      </w:r>
      <w:r w:rsidR="004876E7">
        <w:rPr>
          <w:rFonts w:ascii="Book Antiqua" w:eastAsia="Book Antiqua" w:hAnsi="Book Antiqua" w:cs="Book Antiqua"/>
          <w:sz w:val="18"/>
          <w:szCs w:val="18"/>
        </w:rPr>
        <w:t>and Renewable Energy</w:t>
      </w:r>
      <w:r>
        <w:rPr>
          <w:rFonts w:ascii="Book Antiqua" w:eastAsia="Book Antiqua" w:hAnsi="Book Antiqua" w:cs="Book Antiqua"/>
          <w:sz w:val="18"/>
          <w:szCs w:val="18"/>
        </w:rPr>
        <w:t>.</w:t>
      </w:r>
    </w:p>
    <w:p w14:paraId="00000011" w14:textId="77777777" w:rsidR="00EF2B5C" w:rsidRDefault="00EF2B5C" w:rsidP="00B47CC7">
      <w:pPr>
        <w:spacing w:after="0" w:line="240" w:lineRule="auto"/>
        <w:rPr>
          <w:rFonts w:ascii="Times New Roman" w:eastAsia="Times New Roman" w:hAnsi="Times New Roman" w:cs="Times New Roman"/>
        </w:rPr>
      </w:pPr>
    </w:p>
    <w:p w14:paraId="706BEA66" w14:textId="77777777" w:rsidR="00B47CC7" w:rsidRDefault="00B47CC7" w:rsidP="00B47CC7">
      <w:pPr>
        <w:spacing w:after="0" w:line="240" w:lineRule="auto"/>
        <w:rPr>
          <w:rFonts w:ascii="Times New Roman" w:eastAsia="Times New Roman" w:hAnsi="Times New Roman" w:cs="Times New Roman"/>
        </w:rPr>
      </w:pPr>
    </w:p>
    <w:p w14:paraId="3C2D489C" w14:textId="77777777" w:rsidR="00CD1C3F" w:rsidRDefault="00CD1C3F" w:rsidP="00CD1C3F">
      <w:pPr>
        <w:spacing w:line="240" w:lineRule="auto"/>
        <w:rPr>
          <w:rFonts w:ascii="Book Antiqua" w:eastAsia="Book Antiqua" w:hAnsi="Book Antiqua" w:cs="Book Antiqua"/>
          <w:b/>
          <w:color w:val="C00000"/>
          <w:sz w:val="20"/>
          <w:szCs w:val="20"/>
        </w:rPr>
      </w:pPr>
      <w:r>
        <w:rPr>
          <w:rFonts w:ascii="Book Antiqua" w:eastAsia="Book Antiqua" w:hAnsi="Book Antiqua" w:cs="Book Antiqua"/>
          <w:b/>
        </w:rPr>
        <w:t>Introduction</w:t>
      </w:r>
      <w:r>
        <w:rPr>
          <w:rFonts w:ascii="Book Antiqua" w:eastAsia="Book Antiqua" w:hAnsi="Book Antiqua" w:cs="Book Antiqua"/>
          <w:b/>
          <w:sz w:val="20"/>
          <w:szCs w:val="20"/>
        </w:rPr>
        <w:t xml:space="preserve"> </w:t>
      </w:r>
    </w:p>
    <w:p w14:paraId="30476270" w14:textId="24831E46" w:rsidR="00CD1C3F" w:rsidRPr="00892A53" w:rsidRDefault="00CD1C3F" w:rsidP="00CD1C3F">
      <w:pPr>
        <w:spacing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 xml:space="preserve">Climate change has become a </w:t>
      </w:r>
      <w:r>
        <w:rPr>
          <w:rFonts w:ascii="Book Antiqua" w:eastAsia="Book Antiqua" w:hAnsi="Book Antiqua" w:cs="Book Antiqua"/>
          <w:sz w:val="20"/>
          <w:szCs w:val="20"/>
        </w:rPr>
        <w:t>crucial</w:t>
      </w:r>
      <w:r w:rsidRPr="00CD1C3F">
        <w:rPr>
          <w:rFonts w:ascii="Book Antiqua" w:eastAsia="Book Antiqua" w:hAnsi="Book Antiqua" w:cs="Book Antiqua"/>
          <w:sz w:val="20"/>
          <w:szCs w:val="20"/>
        </w:rPr>
        <w:t xml:space="preserve"> problem that many countries need to solve together. Since the industrial era, human activities</w:t>
      </w:r>
      <w:r w:rsidR="00A368D8">
        <w:rPr>
          <w:rFonts w:ascii="Book Antiqua" w:eastAsia="Book Antiqua" w:hAnsi="Book Antiqua" w:cs="Book Antiqua"/>
          <w:sz w:val="20"/>
          <w:szCs w:val="20"/>
        </w:rPr>
        <w:t>,</w:t>
      </w:r>
      <w:r>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especially burning fossil fuels</w:t>
      </w:r>
      <w:r w:rsidR="00A368D8">
        <w:rPr>
          <w:rFonts w:ascii="Book Antiqua" w:eastAsia="Book Antiqua" w:hAnsi="Book Antiqua" w:cs="Book Antiqua"/>
          <w:sz w:val="20"/>
          <w:szCs w:val="20"/>
        </w:rPr>
        <w:t>,</w:t>
      </w:r>
      <w:r>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 xml:space="preserve">have caused the Earth’s temperature to rise by about 1.1°C. This has led to rising sea levels, more extreme weather, and difficulties in food production </w:t>
      </w:r>
      <w:r w:rsidRPr="00892A53">
        <w:rPr>
          <w:rFonts w:ascii="Book Antiqua" w:eastAsia="Book Antiqua" w:hAnsi="Book Antiqua" w:cs="Book Antiqua"/>
          <w:sz w:val="20"/>
          <w:szCs w:val="20"/>
        </w:rPr>
        <w:t xml:space="preserve">(United Nations Indonesia, 2022). </w:t>
      </w:r>
      <w:r w:rsidRPr="00CD1C3F">
        <w:rPr>
          <w:rFonts w:ascii="Book Antiqua" w:eastAsia="Book Antiqua" w:hAnsi="Book Antiqua" w:cs="Book Antiqua"/>
          <w:sz w:val="20"/>
          <w:szCs w:val="20"/>
        </w:rPr>
        <w:t>Indonesia, which has the third largest tropical forest in the world</w:t>
      </w:r>
      <w:r w:rsidR="00A368D8">
        <w:rPr>
          <w:rFonts w:ascii="Book Antiqua" w:eastAsia="Book Antiqua" w:hAnsi="Book Antiqua" w:cs="Book Antiqua"/>
          <w:sz w:val="20"/>
          <w:szCs w:val="20"/>
        </w:rPr>
        <w:t>,</w:t>
      </w:r>
      <w:r w:rsidRPr="00CD1C3F">
        <w:rPr>
          <w:rFonts w:ascii="Book Antiqua" w:eastAsia="Book Antiqua" w:hAnsi="Book Antiqua" w:cs="Book Antiqua"/>
          <w:sz w:val="20"/>
          <w:szCs w:val="20"/>
        </w:rPr>
        <w:t xml:space="preserve"> and abundant renewable energy resources</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Teknik","id":"ITEM-1","issued":{"date-parts":[["2025"]]},"page":"230-242","title":"Peluang Indonesia Dalam Pasar Karbon Global: Strategi Menjadi Pemain Kunci Di Asia Tenggara","type":"article-journal","volume":"6"},"uris":["http://www.mendeley.com/documents/?uuid=100cc2de-c0f1-4c44-bd2e-5597bd35b82f"]}],"mendeley":{"formattedCitation":"(Wibowo, 2025)","plainTextFormattedCitation":"(Wibowo, 2025)","previouslyFormattedCitation":"(Wibowo, 2025)"},"properties":{"noteIndex":0},"schema":"https://github.com/citation-style-language/schema/raw/master/csl-citation.json"}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(Wibowo, 2025)</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plays an important role in reducing the impacts of climate change. However, there are big challenges, such as still relying on coal for 40% of its energy use and policies that are not well integrated, making it hard to shift to a greener economy</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Peradaban","id":"ITEM-1","issue":"01","issued":{"date-parts":[["2024"]]},"page":"1-30","title":"Analisis Diskursus Pembangunan Berkelanjutan dalam Upaya Transisi Energi Indonesia Tahun 2015-2022","type":"article-journal","volume":"03"},"uris":["http://www.mendeley.com/documents/?uuid=0f7f1d0f-32f8-435f-94be-48c098e96843"]}],"mendeley":{"formattedCitation":"(Rohma, 2024)","plainTextFormattedCitation":"(Rohma, 2024)","previouslyFormattedCitation":"(Rohma, 2024)"},"properties":{"noteIndex":0},"schema":"https://github.com/citation-style-language/schema/raw/master/csl-citation.json"}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(Rohma, 2024)</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w:t>
      </w:r>
    </w:p>
    <w:p w14:paraId="3D982D64" w14:textId="1D081D96" w:rsidR="00CD1C3F" w:rsidRPr="00892A53" w:rsidRDefault="00CD1C3F" w:rsidP="00CD1C3F">
      <w:pPr>
        <w:spacing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Many studies show that international cooperation is very important to face these problems. For example, building trust between developed and developing countries is key to managing renewable energy well</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{"citationItems":[{"id":"ITEM-1","itemData":{"DOI":"10.1111/polp.12409","ISSN":"17471346","abstract":"Studies on renewable energy (RE) policies and policy making have generally focused on the Global North. This article homes in on how trust, an underexamined concept in the multi-level governance literature, affects RE trajectories in Malaysia and Indonesia. Through comparative analysis, we find that different levels of trust result in similar degrees of RE policy support, but dissimilar degrees of engagement between state and societal actors in RE policy making. Negative expectations of the social grievances engendered by RE transitions contribute to reluctant, though legitimized, pursuits of clean energy production and consumption. Meanwhile, trust in actors' nationalism—that is, in opposing a Global North environmental agenda and demonstrating constitutionally aligned resource management in Malaysia and Indonesia, respectively—facilitates more inclusive policy making. Due to greater nationalism, Indonesia's state-society engagement in RE governance is stronger and leads to a civil RE movement that outpaces Malaysia's overall. Related Articles: Ash, John. 2010. “New Nuclear Energy, Risk, and Justice: Regulatory Strategies for an era of Limited Trust.” Politics &amp; Policy 38 (2): 225-284. https://doi.org/10.1111/j.1747-1346.2010.00237.x. Khodr, Hiba, and Isabella Ruble. 2013. “Energy Policies and Domestic Politics in the MENA Region in the Aftermath of the Arab Upheavals: The Cases of Lebanon, Libya, and KSA.” Politics &amp; Policy 41 (5): 656-689. https://doi.org/10.1111/polp.12033. Wood, Steve. 2009. “Energy Security, Normative Dilemmas, and Institutional Camouflage: Europe's Pragmatism.” Politics &amp; Policy 37 (3): 611-635. https://doi.org/10.1111/j.1747-1346.2009.00187.x.","author":[{"dropping-particle":"","family":"Anuar","given":"Amalina","non-dropping-particle":"","parse-names":false,"suffix":""},{"dropping-particle":"","family":"Dewayanti","given":"Aninda","non-dropping-particle":"","parse-names":false,"suffix":""}],"container-title":"Politics and Policy","id":"ITEM-1","issue":"3","issued":{"date-parts":[["2021"]]},"page":"740-770","title":"Trust in the Process: Renewable Energy Governance in Malaysia and Indonesia","type":"article-journal","volume":"49"},"uris":["http://www.mendeley.com/documents/?uuid=fe089994-4776-4b80-a866-5aa3331491fa"]}],"mendeley":{"formattedCitation":"(Anuar &amp; Dewayanti, 2021)","plainTextFormattedCitation":"(Anuar &amp; Dewayanti, 2021)","previouslyFormattedCitation":"(Anuar &amp; Dewayanti, 2021)"},"properties":{"noteIndex":0},"schema":"https://github.com/citation-style-language/schema/raw/master/csl-citation.json"}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(Anuar &amp; Dewayanti, 2021)</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However, specific research on cooperation between Indonesia and the UK</w:t>
      </w:r>
      <w:r w:rsidR="00A368D8">
        <w:rPr>
          <w:rFonts w:ascii="Book Antiqua" w:eastAsia="Book Antiqua" w:hAnsi="Book Antiqua" w:cs="Book Antiqua"/>
          <w:sz w:val="20"/>
          <w:szCs w:val="20"/>
        </w:rPr>
        <w:t>,</w:t>
      </w:r>
      <w:r>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especially regarding carbon markets and a just energy transition</w:t>
      </w:r>
      <w:r w:rsidR="00A368D8">
        <w:rPr>
          <w:rFonts w:ascii="Book Antiqua" w:eastAsia="Book Antiqua" w:hAnsi="Book Antiqua" w:cs="Book Antiqua"/>
          <w:sz w:val="20"/>
          <w:szCs w:val="20"/>
        </w:rPr>
        <w:t>,</w:t>
      </w:r>
      <w:r>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is still limited</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{"citationItems":[{"id":"ITEM-1","itemData":{"abstract":"This study has investigated Indonesia and UK bilateral cooperation, particularly in the sustainable development sector initiated by domestic agenda and international pressure through the United Nations, which created a sub-organization, United Nations Framework Convention Climate Change (UNFCCC) which focuses on climate change and sustainable development. With that, UNFCCC set a standard for countries by creating a Paris Agreement and set long-term goals for countries to achieve Net-Zero Emission Goal as a commitment to sustainable development. Therefore, it opened the first collaboration of Indonesia-UK, namely the United Kingdom Climate Change Unit Indonesia (UKCCU Indonesia) and continuing with the United Kingdom Partnering for Accelerated Climate Transitions (UK-PACT) as well as the MENTARI program (Towards Indonesia's Low Carbon Energy Transition which this program progressively helps two countries in achieving Net-Zero Emission Goal by implementing low carbon development, green economy, green growth, and green jobs, as well as this research, identify opportunities and challenges of this collaboration such as green investment, high reciprocity, COVID-19 pandemic situation, lack of funding, competing for interest, and greenwash issue that analyze by using theories such as international cooperation theory and green economy theory as well as qualitative method through public references and interview data collection which can enrich the research discussion.","author":[{"dropping-particle":"","family":"Arkantryo","given":"Muhammad Dipta","non-dropping-particle":"","parse-names":false,"suffix":""},{"dropping-particle":"","family":"Susilawati","given":"Ningsih","non-dropping-particle":"","parse-names":false,"suffix":""},{"dropping-particle":"","family":"Aditya","given":"Ida Bagus Putu","non-dropping-particle":"","parse-names":false,"suffix":""},{"dropping-particle":"","family":"Krishnamurti","given":"Indra","non-dropping-particle":"","parse-names":false,"suffix":""}],"container-title":"Liaison Journal of Best","id":"ITEM-1","issue":"1","issued":{"date-parts":[["2023"]]},"page":"51-88","title":"The Partnership Between Indonesia and United Kingdom to Achieve the NetZero Emission Goal on Behalf of Sustainable Development Action","type":"article-journal","volume":"2"},"uris":["http://www.mendeley.com/documents/?uuid=c450e359-08af-4335-a819-639c156aebf8"]}],"mendeley":{"formattedCitation":"(Arkantryo et al., 2023)","plainTextFormattedCitation":"(Arkantryo et al., 2023)","previouslyFormattedCitation":"(Arkantryo et al., 2023)"},"properties":{"noteIndex":0},"schema":"https://github.com/citation-style-language/schema/raw/master/csl-citation.json"}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(Arkantryo et al., 2023)</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w:t>
      </w:r>
    </w:p>
    <w:p w14:paraId="121232D7" w14:textId="7E77B51B" w:rsidR="00CD1C3F" w:rsidRPr="00892A53" w:rsidRDefault="00CD1C3F" w:rsidP="00CD1C3F">
      <w:pPr>
        <w:spacing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 xml:space="preserve">This study tries to fill several gaps. First, theoretically, there are not many studies linking climate cooperation between Indonesia and the UK with institutional liberalism theory, which explains how countries depend on and cooperate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{"citationItems":[{"id":"ITEM-1","itemData":{"DOI":"10.2307/2010357","ISSN":"0043-8871","abstract":"Cooperation and discord in world politics are explained to a considerable extent by the three factors discussed in the Introduction: mutuality of interest, the shadow of the future, and the number of players. Yet the context of interaction, perceptions, and strategies is also important. Issues are linked to one another through multilevel games, which may be compatible or incompatible. Whether reciprocity constitutes an effective strategy depends both on linkages among issues and on the institutions within which negotiations take place. Perceptions are always significant and often decisive. Decision makers often actively seek to change the contexts within which they act by linking issues, trying to alter others' perceptions, establishing institutions, and promoting new norms. This finding suggests the importance of linking the upward-looking theory of strategy with the downward-looking theory of regimes.","author":[{"dropping-particle":"","family":"Axelrod","given":"Robert","non-dropping-particle":"","parse-names":false,"suffix":""},{"dropping-particle":"","family":"Keohane","given":"Robert O.","non-dropping-particle":"","parse-names":false,"suffix":""}],"container-title":"World Politics","id":"ITEM-1","issue":"1","issued":{"date-parts":[["1985"]]},"page":"226-254","title":"Achieving Cooperation under Anarchy: Strategies and Institutions","type":"article-journal","volume":"38"},"uris":["http://www.mendeley.com/documents/?uuid=730975b8-559a-4dab-955d-d5ea8c42df88"]},{"id":"ITEM-2","itemData":{"DOI":"10.1177/0047117812438451","ISSN":"00471178","abstract":"The world has now experienced what could be regarded as 20 years of Institutional Liberalism: the dominance of the view that cooperation in world politics can be enhanced through the construction and support of multilateral institutions based on liberal principles. E. H. Carr was famously skeptical of liberalism as he understood that tradition. This essay, prepared originally as the E. H. Carr Lecture at Aberystwyth University, interrogates Institutional Liberalism through a lens provided by Carr's most famous book on international relations, The Twenty Years' Crisis. It points out three trends since the 1990s that may be associated with Institutional Liberalism: increasing legalization; trends toward more legalism and moralism; and a decline in the coherence of some international regimes. Reviewing these trends in light of Realist critiques of liberalism, the essay rejects Realism as a good moral or practical guide to world politics, but reaffirms the value of the Realist view that institutions depend on structures of power and interests. Increases in legalization, legalism and moralism reflect a fusion of the social purpose of liberal democracies with their unprecedented geopolitical power since 1991. But declines in the coherence of international regimes reflect a greater divergence of interests, weighted by power. All international institutions are flawed and in some ways precarious, but strengthening them in ways that reflect legitimate social purposes remains a major challenge for our time. © The Author(s) 2012.","author":[{"dropping-particle":"","family":"Keohane","given":"Robert O.","non-dropping-particle":"","parse-names":false,"suffix":""}],"container-title":"International Relations","id":"ITEM-2","issue":"2","issued":{"date-parts":[["2012"]]},"page":"125-138","title":"Twenty years of institutional liberalism","type":"article-journal","volume":"26"},"uris":["http://www.mendeley.com/documents/?uuid=71c04953-a4be-48f3-9be8-ce6ef73e4c1c"]},{"id":"ITEM-3","itemData":{"DOI":"10.1016/s0164-0704(96)80090-5","ISBN":"9780205082919","ISSN":"01640704","abstract":"4th ed. In revising classic works in political science, Longman celebrates the contributions its authors and their research have made to the discipline. The Longman Classics in Political Science series honors these authors and their work. Providing students with an updated context, each title in the series includes a new foreword, written by one of today's top scholars, offering afresh, in-depth analysis of the book and its enduring contributions. Foreword / Fareed Zakaria -- Preface to First Edition -- Preface to Second Edition -- Preface to Third Edition -- Preface to Fourth Edition -- Part I. Understanding Interdependence -- Chapter 1. Interdependence in World Politics -- The New Rhetoric of Interdependence -- Interdependence as an Analytic Concept -- Power and Interdependence -- International Regime Change -- Chapter 2. Realism and Complex Interdependence -- The Characteristics of Complex Interdependence -- Multiple Channels -- Absence of Hierarchy among Issues -- Minor Role of Military Force -- The Political Processes of Complex Interdependence -- Linkage Strategies -- Agenda Setting -- Transnational and Transgovernmental Relations -- Role of International Organizations -- Chapter 3. Explaining International Regime Change -- An Economic Process Explanation -- Overall Power Structure Explanation -- Eroding Hegemony -- Limitations of an Overall Structure Explanation -- Issue Structure -- Limitations of Structural Explanations -- An International Organization Model -- Combining Explanations -- Part II. Regime Change in Oceans and Money -- Chapter 4. The Politics of Oceans and Money: Historical Overview -- The International Monetary Issue Area -- The International Gold Standard Before 1914 -- International Monetary Regimes, 1920-76 -- The Oceans Issue Area -- Defining the Issue Area -- The Classical Free Seas Regime -- Regime Periods, 1920-75 -- The Changing Agenda of Oceans Politics -- Conclusion -- Chapter 5. Complex Interdependence in Oceans and Money -- The Conditions of Complex Interdependence -- Role of Force -- Absence of Hierarchy among Issues -- Multiple Channels of Contact -- Money, Oceans, and Complex Interdependence -- The Political Process in Money and Oceans -- Goals of Actors -- Instruments of State Policy -- Agenda Formation -- Linkage of Issues -- Roles of International Organizations -- Conclusion -- Chapter 6. The Politics of Rule-Making in Oceans and Money -- Economic Processes and Regime Change -- Overall Structure and Regime Change…","author":[{"dropping-particle":"","family":"Keohane","given":"Robert O","non-dropping-particle":"","parse-names":false,"suffix":""},{"dropping-particle":"","family":"Nye","given":"Joseph S","non-dropping-particle":"","parse-names":false,"suffix":""}],"container-title":"Journal of Macroeconomics","id":"ITEM-3","issue":"2","issued":{"date-parts":[["1996"]]},"number-of-pages":"377","title":"Understanding interdependence","type":"book","volume":"18"},"uris":["http://www.mendeley.com/documents/?uuid=3734d8f9-f559-409d-bd52-de79f95e86ad"]}],"mendeley":{"formattedCitation":"(Axelrod &amp; Keohane, 1985; Keohane, 2012; Keohane &amp; Nye, 1996)","plainTextFormattedCitation":"(Axelrod &amp; Keohane, 1985; Keohane, 2012; Keohane &amp; Nye, 1996)","previouslyFormattedCitation":"(Axelrod &amp; Keohane, 1985; Keohane, 2012; Keohane &amp; Nye, 1996)"},"properties":{"noteIndex":0},"schema":"https://github.com/citation-style-language/schema/raw/master/csl-citation.json"}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(Axelrod &amp; Keohane, 1985; Keohane, 2012; Keohane &amp; Nye, 1996)</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 xml:space="preserve">Second, from a data perspective, there hasn’t been a deep evaluation of how programs like UK PACT </w:t>
      </w:r>
      <w:r w:rsidRPr="00CD1C3F">
        <w:rPr>
          <w:rFonts w:ascii="Book Antiqua" w:eastAsia="Book Antiqua" w:hAnsi="Book Antiqua" w:cs="Book Antiqua"/>
          <w:sz w:val="20"/>
          <w:szCs w:val="20"/>
        </w:rPr>
        <w:lastRenderedPageBreak/>
        <w:t>(Partnering for Accelerated Climate Transitions) and SPEI (Indonesia’s Greenhouse Gas Emission Reduction Certificate) help Indonesia improve its technical capacity, even though experiences in Morocco show the importance of inclusive funding and policies</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X","id":"ITEM-1","issue":"December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potential","type":"article-journal","volume":"26"},"uris":["http://www.mendeley.com/documents/?uuid=d80bd767-7182-4e62-89d0-80208ab22d18"]}],"mendeley":{"formattedCitation":"(El Hafdaoui et al., 2025)","plainTextFormattedCitation":"(El Hafdaoui et al., 2025)","previouslyFormattedCitation":"(El Hafdaoui et al., 2025)"},"properties":{"noteIndex":0},"schema":"https://github.com/citation-style-language/schema/raw/master/csl-citation.json"}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(El Hafdaoui et al., 2025)</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 xml:space="preserve">. </w:t>
      </w:r>
      <w:r w:rsidRPr="00CD1C3F">
        <w:rPr>
          <w:rFonts w:ascii="Book Antiqua" w:eastAsia="Book Antiqua" w:hAnsi="Book Antiqua" w:cs="Book Antiqua"/>
          <w:sz w:val="20"/>
          <w:szCs w:val="20"/>
        </w:rPr>
        <w:t xml:space="preserve">Third, from a policy view, issues like coordination between agencies and social justice in the energy transition process need to be discussed further to find good solutions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{"citationItems":[{"id":"ITEM-1","itemData":{"DOI":"10.1017/sus.2025.13","ISSN":"20594798","abstract":"Non-technical summary. Climate change is one of the most salient issues in current international politics. In all but the most optimistic of scenarios, it has the potential to severely impact human life in many parts of the world. Production and consumption patterns under the current liberal economic order contribute significantly to the climate crisis. Yet the norms and ideas that guide climate policy under this order are remarkably persistent in the face of climate change. This article explores why these norms have not yet been challenged, and how theories of international relations help understand the absence of such challenges. Technical summary. Multilateral climate policy has institutionalized a set of norms that may be summarized as liberal environmentalism. Liberal environmentalism presumes that economic growth and environmental protection are not mutually exclusive, but prerequisites for each other, thereby connecting the economic order with environmental policy. This article argues that there is a distinct mismatch between the climate crisis and the stickiness of liberal environmentalism. Although the natural system to be governed is in crisis, the political and normative system tasked with governing it is not. The article thus inquires how crises come about by examining why they sometimes do not. It compares theoretical insights borrowed from liberal institutionalism, constructivism, and neo-realism and explores what may be missing from such approaches to fully grasp the nature of crises in international politics. The article finds that liberal environmentalist norms emerged in the 1990s, cascaded in the early 2000s and became institutionalized in the Copenhagen era, culminating in the Paris Agreement. They are likely to remain unaffected by the current polycrisis in international relations, because institutionalized norms are often resistant to change. Liberal environmentalist norms are now deeply embedded in contemporary climate governance, meaning that they can only be challenged through persistent norm entrepreneurship. Social media summary. Liberal environmentalism persists in global climate policy because of institutionalized norms and the discursive reproduction of these norms.","author":[{"dropping-particle":"","family":"Krogmann","given":"David","non-dropping-particle":"","parse-names":false,"suffix":""}],"container-title":"Global Sustainability","id":"ITEM-1","issued":{"date-parts":[["2025"]]},"title":"Liberal environmentalism and climate change in the polycrisis","type":"article-journal","volume":"8"},"uris":["http://www.mendeley.com/documents/?uuid=57afa4ab-8883-458d-81a5-d39cde9fec23"]}],"mendeley":{"formattedCitation":"(Krogmann, 2025)","plainTextFormattedCitation":"(Krogmann, 2025)","previouslyFormattedCitation":"(Krogmann, 2025)"},"properties":{"noteIndex":0},"schema":"https://github.com/citation-style-language/schema/raw/master/csl-citation.json"}</w:instrText>
      </w:r>
      <w:r>
        <w:rPr>
          <w:rFonts w:ascii="Book Antiqua" w:eastAsia="Book Antiqua" w:hAnsi="Book Antiqua" w:cs="Book Antiqua"/>
          <w:sz w:val="20"/>
          <w:szCs w:val="20"/>
        </w:rPr>
        <w:fldChar w:fldCharType="separate"/>
      </w:r>
      <w:r w:rsidRPr="00892A53">
        <w:rPr>
          <w:rFonts w:ascii="Book Antiqua" w:eastAsia="Book Antiqua" w:hAnsi="Book Antiqua" w:cs="Book Antiqua"/>
          <w:noProof/>
          <w:sz w:val="20"/>
          <w:szCs w:val="20"/>
        </w:rPr>
        <w:t>(Krogmann, 2025)</w:t>
      </w:r>
      <w:r>
        <w:rPr>
          <w:rFonts w:ascii="Book Antiqua" w:eastAsia="Book Antiqua" w:hAnsi="Book Antiqua" w:cs="Book Antiqua"/>
          <w:sz w:val="20"/>
          <w:szCs w:val="20"/>
        </w:rPr>
        <w:fldChar w:fldCharType="end"/>
      </w:r>
      <w:r w:rsidRPr="00892A53">
        <w:rPr>
          <w:rFonts w:ascii="Book Antiqua" w:eastAsia="Book Antiqua" w:hAnsi="Book Antiqua" w:cs="Book Antiqua"/>
          <w:sz w:val="20"/>
          <w:szCs w:val="20"/>
        </w:rPr>
        <w:t>.</w:t>
      </w:r>
    </w:p>
    <w:p w14:paraId="25D17BF0" w14:textId="53E35054" w:rsidR="00CD1C3F" w:rsidRDefault="00CD1C3F" w:rsidP="00CD1C3F">
      <w:pPr>
        <w:spacing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 xml:space="preserve">This study focuses on several main questions: How does the cooperation between Indonesia and the UK in the carbon market and just energy transition reflect the principles of mutually beneficial cooperation according to institutional liberalism theory? What are the real effects of </w:t>
      </w:r>
      <w:r w:rsidR="00C30741">
        <w:rPr>
          <w:rFonts w:ascii="Book Antiqua" w:eastAsia="Book Antiqua" w:hAnsi="Book Antiqua" w:cs="Book Antiqua"/>
          <w:sz w:val="20"/>
          <w:szCs w:val="20"/>
        </w:rPr>
        <w:t xml:space="preserve">the </w:t>
      </w:r>
      <w:r w:rsidRPr="00CD1C3F">
        <w:rPr>
          <w:rFonts w:ascii="Book Antiqua" w:eastAsia="Book Antiqua" w:hAnsi="Book Antiqua" w:cs="Book Antiqua"/>
          <w:sz w:val="20"/>
          <w:szCs w:val="20"/>
        </w:rPr>
        <w:t>UK PACT and SPEI programs in strengthening Indonesia’s capabilities? And finally, how can problems like fragmented policies and social justice be addressed through this cooperation?</w:t>
      </w:r>
    </w:p>
    <w:p w14:paraId="3A6930E1" w14:textId="740F7929" w:rsidR="00CD1C3F" w:rsidRPr="00CD1C3F" w:rsidRDefault="00CD1C3F" w:rsidP="00CD1C3F">
      <w:pPr>
        <w:spacing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 xml:space="preserve">The goal of this research is to </w:t>
      </w:r>
      <w:r w:rsidR="00C30741">
        <w:rPr>
          <w:rFonts w:ascii="Book Antiqua" w:eastAsia="Book Antiqua" w:hAnsi="Book Antiqua" w:cs="Book Antiqua"/>
          <w:sz w:val="20"/>
          <w:szCs w:val="20"/>
        </w:rPr>
        <w:t>examine</w:t>
      </w:r>
      <w:r w:rsidRPr="00CD1C3F">
        <w:rPr>
          <w:rFonts w:ascii="Book Antiqua" w:eastAsia="Book Antiqua" w:hAnsi="Book Antiqua" w:cs="Book Antiqua"/>
          <w:sz w:val="20"/>
          <w:szCs w:val="20"/>
        </w:rPr>
        <w:t xml:space="preserve"> bilateral cooperation from the perspective of institutional liberalism and the concept of interdependence between countries. It also aims to evaluate how effective funding and technology transfer programs like UK PACT are, by comparing experiences in Morocco and Malaysia. Furthermore, this study </w:t>
      </w:r>
      <w:r w:rsidR="00C30741">
        <w:rPr>
          <w:rFonts w:ascii="Book Antiqua" w:eastAsia="Book Antiqua" w:hAnsi="Book Antiqua" w:cs="Book Antiqua"/>
          <w:sz w:val="20"/>
          <w:szCs w:val="20"/>
        </w:rPr>
        <w:t xml:space="preserve">aims to provide evidence-based policy recommendations that improve coordination between agencies and promote </w:t>
      </w:r>
      <w:r w:rsidRPr="00CD1C3F">
        <w:rPr>
          <w:rFonts w:ascii="Book Antiqua" w:eastAsia="Book Antiqua" w:hAnsi="Book Antiqua" w:cs="Book Antiqua"/>
          <w:sz w:val="20"/>
          <w:szCs w:val="20"/>
        </w:rPr>
        <w:t>fairness in the energy transition.</w:t>
      </w:r>
    </w:p>
    <w:p w14:paraId="79D056E2" w14:textId="64CDC449" w:rsidR="00CD1C3F" w:rsidRDefault="00CD1C3F" w:rsidP="00C13E98">
      <w:pPr>
        <w:spacing w:after="0" w:line="240" w:lineRule="auto"/>
        <w:jc w:val="both"/>
        <w:rPr>
          <w:rFonts w:ascii="Book Antiqua" w:eastAsia="Book Antiqua" w:hAnsi="Book Antiqua" w:cs="Book Antiqua"/>
          <w:sz w:val="20"/>
          <w:szCs w:val="20"/>
        </w:rPr>
      </w:pPr>
      <w:r w:rsidRPr="00CD1C3F">
        <w:rPr>
          <w:rFonts w:ascii="Book Antiqua" w:eastAsia="Book Antiqua" w:hAnsi="Book Antiqua" w:cs="Book Antiqua"/>
          <w:sz w:val="20"/>
          <w:szCs w:val="20"/>
        </w:rPr>
        <w:t xml:space="preserve">This research is expected to broaden </w:t>
      </w:r>
      <w:r w:rsidR="00A368D8">
        <w:rPr>
          <w:rFonts w:ascii="Book Antiqua" w:eastAsia="Book Antiqua" w:hAnsi="Book Antiqua" w:cs="Book Antiqua"/>
          <w:sz w:val="20"/>
          <w:szCs w:val="20"/>
        </w:rPr>
        <w:t xml:space="preserve">the </w:t>
      </w:r>
      <w:r w:rsidRPr="00CD1C3F">
        <w:rPr>
          <w:rFonts w:ascii="Book Antiqua" w:eastAsia="Book Antiqua" w:hAnsi="Book Antiqua" w:cs="Book Antiqua"/>
          <w:sz w:val="20"/>
          <w:szCs w:val="20"/>
        </w:rPr>
        <w:t>understanding of how institutional liberalism theory applies to climate cooperation between developed and developing countries. Practically, it aims to offer recommendations for improving programs like UK PACT, learning from Morocco’s success in renewable energy development. Additionally, the study can help shape fairer policies regarding access to technology and funding, as shown in studies on cooperation with China.</w:t>
      </w:r>
    </w:p>
    <w:p w14:paraId="48A2023B" w14:textId="77777777" w:rsidR="00CD1C3F" w:rsidRDefault="00CD1C3F" w:rsidP="00C13E98">
      <w:pPr>
        <w:spacing w:after="0" w:line="240" w:lineRule="auto"/>
        <w:jc w:val="both"/>
        <w:rPr>
          <w:rFonts w:ascii="Book Antiqua" w:eastAsia="Book Antiqua" w:hAnsi="Book Antiqua" w:cs="Book Antiqua"/>
          <w:sz w:val="20"/>
          <w:szCs w:val="20"/>
        </w:rPr>
      </w:pPr>
    </w:p>
    <w:p w14:paraId="67A5E7A6" w14:textId="77777777" w:rsidR="00C13E98" w:rsidRDefault="00C13E98" w:rsidP="00CD1C3F">
      <w:pPr>
        <w:spacing w:after="0" w:line="240" w:lineRule="auto"/>
        <w:jc w:val="both"/>
        <w:rPr>
          <w:rFonts w:ascii="Book Antiqua" w:eastAsia="Book Antiqua" w:hAnsi="Book Antiqua" w:cs="Book Antiqua"/>
          <w:sz w:val="20"/>
          <w:szCs w:val="20"/>
        </w:rPr>
      </w:pPr>
    </w:p>
    <w:p w14:paraId="0A3C5B17" w14:textId="77777777" w:rsidR="00CD1C3F" w:rsidRDefault="00CD1C3F" w:rsidP="00CD1C3F">
      <w:pPr>
        <w:spacing w:line="240" w:lineRule="auto"/>
        <w:rPr>
          <w:rFonts w:ascii="Book Antiqua" w:eastAsia="Book Antiqua" w:hAnsi="Book Antiqua" w:cs="Book Antiqua"/>
          <w:i/>
          <w:color w:val="FF0000"/>
        </w:rPr>
      </w:pPr>
      <w:r>
        <w:rPr>
          <w:rFonts w:ascii="Book Antiqua" w:eastAsia="Book Antiqua" w:hAnsi="Book Antiqua" w:cs="Book Antiqua"/>
          <w:b/>
        </w:rPr>
        <w:t xml:space="preserve">Methods </w:t>
      </w:r>
    </w:p>
    <w:p w14:paraId="487F4A09" w14:textId="6D30920C" w:rsidR="00CD1C3F" w:rsidRPr="00A2302E"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 xml:space="preserve">This study uses a qualitative approach with an intrinsic case study design to examine the cooperation between Indonesia and the United Kingdom in the carbon market and energy transition. The case study design was chosen because it allows for an in-depth analysis of the context, mechanisms, and dynamics of this bilateral cooperation. The research focuses on two main aspects: institutions, which include related policies and programs, and key </w:t>
      </w:r>
      <w:r w:rsidR="00C97C22">
        <w:rPr>
          <w:rFonts w:ascii="Book Antiqua" w:eastAsia="Book Antiqua" w:hAnsi="Book Antiqua" w:cs="Book Antiqua"/>
          <w:sz w:val="20"/>
          <w:szCs w:val="20"/>
        </w:rPr>
        <w:t>actors</w:t>
      </w:r>
      <w:r w:rsidR="00F56850">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such as the relevant ministries in both countries</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{"citationItems":[{"id":"ITEM-1","itemData":{"author":[{"dropping-particle":"","family":"Mali","given":"Yustinus Calvin Gai","non-dropping-particle":"","parse-names":false,"suffix":""}],"container-title":"Beyond words","id":"ITEM-1","issue":"1","issued":{"date-parts":[["2023"]]},"page":"61-64","title":"A book review: Case study: Case study research and applications design and methods (6th ed.) by Yin","type":"article-journal","volume":"11"},"uris":["http://www.mendeley.com/documents/?uuid=599bb796-960c-4fd1-bb89-5b8acab30367"]}],"mendeley":{"formattedCitation":"(Mali, 2023)","plainTextFormattedCitation":"(Mali, 2023)","previouslyFormattedCitation":"(Mali, 2023)"},"properties":{"noteIndex":0},"schema":"https://github.com/citation-style-language/schema/raw/master/csl-citation.json"}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8F1E4B">
        <w:rPr>
          <w:rFonts w:ascii="Book Antiqua" w:eastAsia="Book Antiqua" w:hAnsi="Book Antiqua" w:cs="Book Antiqua"/>
          <w:noProof/>
          <w:sz w:val="20"/>
          <w:szCs w:val="20"/>
        </w:rPr>
        <w:t>(Mali, 2023)</w:t>
      </w:r>
      <w:r w:rsidR="00CD1C3F">
        <w:rPr>
          <w:rFonts w:ascii="Book Antiqua" w:eastAsia="Book Antiqua" w:hAnsi="Book Antiqua" w:cs="Book Antiqua"/>
          <w:sz w:val="20"/>
          <w:szCs w:val="20"/>
        </w:rPr>
        <w:fldChar w:fldCharType="end"/>
      </w:r>
      <w:r w:rsidR="00CD1C3F" w:rsidRPr="00A2302E">
        <w:rPr>
          <w:rFonts w:ascii="Book Antiqua" w:eastAsia="Book Antiqua" w:hAnsi="Book Antiqua" w:cs="Book Antiqua"/>
          <w:sz w:val="20"/>
          <w:szCs w:val="20"/>
        </w:rPr>
        <w:t>.</w:t>
      </w:r>
    </w:p>
    <w:p w14:paraId="4461B4F2" w14:textId="77777777" w:rsidR="00C13E98"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Data were collected from various complementary sources. First, policy documents consisting of national regulations and official reports from government agencies and cooperation programs. Second, academic literature from reputable international journals discussing themes of climate and energy cooperation. Third, information from trusted media outlets covering the implementation of related projects.</w:t>
      </w:r>
    </w:p>
    <w:p w14:paraId="3FAE8D5C" w14:textId="77777777" w:rsidR="00C13E98" w:rsidRDefault="00C13E98" w:rsidP="00C13E98">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Data analysis was conducted using thematic analysis. In the initial stage, the researcher identified key patterns such as funding support, technology transfer, and policy challenges. Then, these themes were grouped based on institutional liberalism theory as the main analytical framework</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{"citationItems":[{"id":"ITEM-1","itemData":{"DOI":"10.1177/0047117812438451","ISSN":"00471178","abstract":"The world has now experienced what could be regarded as 20 years of Institutional Liberalism: the dominance of the view that cooperation in world politics can be enhanced through the construction and support of multilateral institutions based on liberal principles. E. H. Carr was famously skeptical of liberalism as he understood that tradition. This essay, prepared originally as the E. H. Carr Lecture at Aberystwyth University, interrogates Institutional Liberalism through a lens provided by Carr's most famous book on international relations, The Twenty Years' Crisis. It points out three trends since the 1990s that may be associated with Institutional Liberalism: increasing legalization; trends toward more legalism and moralism; and a decline in the coherence of some international regimes. Reviewing these trends in light of Realist critiques of liberalism, the essay rejects Realism as a good moral or practical guide to world politics, but reaffirms the value of the Realist view that institutions depend on structures of power and interests. Increases in legalization, legalism and moralism reflect a fusion of the social purpose of liberal democracies with their unprecedented geopolitical power since 1991. But declines in the coherence of international regimes reflect a greater divergence of interests, weighted by power. All international institutions are flawed and in some ways precarious, but strengthening them in ways that reflect legitimate social purposes remains a major challenge for our time. © The Author(s) 2012.","author":[{"dropping-particle":"","family":"Keohane","given":"Robert O.","non-dropping-particle":"","parse-names":false,"suffix":""}],"container-title":"International Relations","id":"ITEM-1","issue":"2","issued":{"date-parts":[["2012"]]},"page":"125-138","title":"Twenty years of institutional liberalism","type":"article-journal","volume":"26"},"uris":["http://www.mendeley.com/documents/?uuid=71c04953-a4be-48f3-9be8-ce6ef73e4c1c"]}],"mendeley":{"formattedCitation":"(Keohane, 2012)","plainTextFormattedCitation":"(Keohane, 2012)","previouslyFormattedCitation":"(Keohane, 2012)"},"properties":{"noteIndex":0},"schema":"https://github.com/citation-style-language/schema/raw/master/csl-citation.json"}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8F1E4B">
        <w:rPr>
          <w:rFonts w:ascii="Book Antiqua" w:eastAsia="Book Antiqua" w:hAnsi="Book Antiqua" w:cs="Book Antiqua"/>
          <w:noProof/>
          <w:sz w:val="20"/>
          <w:szCs w:val="20"/>
        </w:rPr>
        <w:t>(Keohane, 2012)</w:t>
      </w:r>
      <w:r w:rsidR="00CD1C3F">
        <w:rPr>
          <w:rFonts w:ascii="Book Antiqua" w:eastAsia="Book Antiqua" w:hAnsi="Book Antiqua" w:cs="Book Antiqua"/>
          <w:sz w:val="20"/>
          <w:szCs w:val="20"/>
        </w:rPr>
        <w:fldChar w:fldCharType="end"/>
      </w:r>
      <w:r w:rsidR="00CD1C3F" w:rsidRPr="00A2302E">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The analysis results were verified by comparing data from various sources through triangulation. To ensure validity and reliability, the research findings were compared with similar studies conducted in other countries, and the coding process was carried out independently by two researchers with a high level of agreement, thereby improving the accuracy of the analysis.</w:t>
      </w:r>
    </w:p>
    <w:p w14:paraId="4F5E3904" w14:textId="1AA25715" w:rsidR="00CD1C3F" w:rsidRDefault="00C13E98" w:rsidP="00CD1C3F">
      <w:pPr>
        <w:spacing w:after="0"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However, this study has limitations, such as limited access to some confidential cooperation documents and potential bias due to focusing on sources in Indonesian and English, which may overlook local perspectives in regional languages.</w:t>
      </w:r>
    </w:p>
    <w:p w14:paraId="6CBE40B7" w14:textId="77777777" w:rsidR="00CD1C3F" w:rsidRDefault="00CD1C3F" w:rsidP="00CD1C3F">
      <w:pPr>
        <w:spacing w:after="0" w:line="240" w:lineRule="auto"/>
        <w:jc w:val="both"/>
        <w:rPr>
          <w:rFonts w:ascii="Book Antiqua" w:eastAsia="Book Antiqua" w:hAnsi="Book Antiqua" w:cs="Book Antiqua"/>
          <w:sz w:val="20"/>
          <w:szCs w:val="20"/>
        </w:rPr>
      </w:pPr>
    </w:p>
    <w:p w14:paraId="795AA337" w14:textId="77777777" w:rsidR="00C13E98" w:rsidRDefault="00C13E98" w:rsidP="00CD1C3F">
      <w:pPr>
        <w:spacing w:after="0" w:line="240" w:lineRule="auto"/>
        <w:jc w:val="both"/>
        <w:rPr>
          <w:rFonts w:ascii="Book Antiqua" w:eastAsia="Book Antiqua" w:hAnsi="Book Antiqua" w:cs="Book Antiqua"/>
          <w:sz w:val="20"/>
          <w:szCs w:val="20"/>
        </w:rPr>
      </w:pPr>
    </w:p>
    <w:p w14:paraId="7BB6946C" w14:textId="77777777" w:rsidR="00F56850" w:rsidRDefault="00F56850" w:rsidP="00CD1C3F">
      <w:pPr>
        <w:spacing w:after="0" w:line="240" w:lineRule="auto"/>
        <w:jc w:val="both"/>
        <w:rPr>
          <w:rFonts w:ascii="Book Antiqua" w:eastAsia="Book Antiqua" w:hAnsi="Book Antiqua" w:cs="Book Antiqua"/>
          <w:sz w:val="20"/>
          <w:szCs w:val="20"/>
        </w:rPr>
      </w:pPr>
    </w:p>
    <w:p w14:paraId="2280EABF" w14:textId="77777777" w:rsidR="00F56850" w:rsidRDefault="00F56850" w:rsidP="00CD1C3F">
      <w:pPr>
        <w:spacing w:after="0" w:line="240" w:lineRule="auto"/>
        <w:jc w:val="both"/>
        <w:rPr>
          <w:rFonts w:ascii="Book Antiqua" w:eastAsia="Book Antiqua" w:hAnsi="Book Antiqua" w:cs="Book Antiqua"/>
          <w:sz w:val="20"/>
          <w:szCs w:val="20"/>
        </w:rPr>
      </w:pPr>
    </w:p>
    <w:p w14:paraId="7A895813" w14:textId="77777777" w:rsidR="00F56850" w:rsidRDefault="00F56850" w:rsidP="00CD1C3F">
      <w:pPr>
        <w:spacing w:after="0" w:line="240" w:lineRule="auto"/>
        <w:jc w:val="both"/>
        <w:rPr>
          <w:rFonts w:ascii="Book Antiqua" w:eastAsia="Book Antiqua" w:hAnsi="Book Antiqua" w:cs="Book Antiqua"/>
          <w:sz w:val="20"/>
          <w:szCs w:val="20"/>
        </w:rPr>
      </w:pPr>
    </w:p>
    <w:p w14:paraId="59C5ACC2" w14:textId="77777777" w:rsidR="00CD1C3F" w:rsidRPr="007324C8" w:rsidRDefault="00CD1C3F" w:rsidP="00CD1C3F">
      <w:pPr>
        <w:spacing w:line="240" w:lineRule="auto"/>
        <w:rPr>
          <w:rFonts w:ascii="Book Antiqua" w:eastAsia="Book Antiqua" w:hAnsi="Book Antiqua" w:cs="Book Antiqua"/>
          <w:b/>
        </w:rPr>
      </w:pPr>
      <w:r>
        <w:rPr>
          <w:rFonts w:ascii="Book Antiqua" w:eastAsia="Book Antiqua" w:hAnsi="Book Antiqua" w:cs="Book Antiqua"/>
          <w:b/>
        </w:rPr>
        <w:lastRenderedPageBreak/>
        <w:t>Result</w:t>
      </w:r>
      <w:r>
        <w:rPr>
          <w:rFonts w:ascii="Book Antiqua" w:eastAsia="Book Antiqua" w:hAnsi="Book Antiqua" w:cs="Book Antiqua"/>
          <w:b/>
          <w:i/>
        </w:rPr>
        <w:t xml:space="preserve"> </w:t>
      </w:r>
      <w:r>
        <w:rPr>
          <w:rFonts w:ascii="Book Antiqua" w:eastAsia="Book Antiqua" w:hAnsi="Book Antiqua" w:cs="Book Antiqua"/>
          <w:b/>
        </w:rPr>
        <w:t>and Discussion</w:t>
      </w:r>
    </w:p>
    <w:p w14:paraId="49FBBC3B" w14:textId="77777777" w:rsidR="00C13E98" w:rsidRDefault="00C13E98" w:rsidP="00CD1C3F">
      <w:pPr>
        <w:spacing w:line="240" w:lineRule="auto"/>
        <w:jc w:val="both"/>
        <w:rPr>
          <w:rFonts w:ascii="Book Antiqua" w:eastAsia="Book Antiqua" w:hAnsi="Book Antiqua" w:cs="Book Antiqua"/>
          <w:b/>
          <w:bCs/>
          <w:sz w:val="20"/>
          <w:szCs w:val="20"/>
        </w:rPr>
      </w:pPr>
      <w:r w:rsidRPr="00C13E98">
        <w:rPr>
          <w:rFonts w:ascii="Book Antiqua" w:eastAsia="Book Antiqua" w:hAnsi="Book Antiqua" w:cs="Book Antiqua"/>
          <w:b/>
          <w:bCs/>
          <w:sz w:val="20"/>
          <w:szCs w:val="20"/>
        </w:rPr>
        <w:t>Effectiveness of International Cooperation</w:t>
      </w:r>
    </w:p>
    <w:p w14:paraId="725DBF2A" w14:textId="337EDAD1" w:rsidR="00CD1C3F" w:rsidRPr="00EB6C4F"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International cooperation in addressing climate change requires a strong institutional framework to ensure its effectiveness and sustainability. According to institutional liberalism theory proposed by Keohane (2012), institutions act as platforms that help reduce uncertainty, regulate the behavior of states, and facilitate long-term cooperation. In the context of cooperation between Indonesia and the United Kingdom, this effectiveness can be observed through several key aspects.</w:t>
      </w:r>
    </w:p>
    <w:p w14:paraId="4277D0E1" w14:textId="113FCEB0" w:rsidR="00C13E98"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First, strengthening the carbon market institution is a major focus. The SPEI program (Indonesia’s Greenhouse Gas Emission Reduction Certificate), supported by the UK, has helped Indonesia develop a more accurate MRV system (Measurement, Reporting, Verification). This system forms an essential foundation for creating a transparent carbon market</w:t>
      </w:r>
      <w:r w:rsidR="00CD1C3F" w:rsidRPr="00EB6C4F">
        <w:rPr>
          <w:rFonts w:ascii="Book Antiqua" w:eastAsia="Book Antiqua" w:hAnsi="Book Antiqua" w:cs="Book Antiqua"/>
          <w:sz w:val="20"/>
          <w:szCs w:val="20"/>
        </w:rPr>
        <w:t xml:space="preserve"> </w:t>
      </w:r>
      <w:r w:rsidR="00A624AD" w:rsidRPr="00A624AD">
        <w:rPr>
          <w:rFonts w:ascii="Book Antiqua" w:eastAsia="Book Antiqua" w:hAnsi="Book Antiqua" w:cs="Book Antiqua"/>
          <w:sz w:val="20"/>
          <w:szCs w:val="20"/>
        </w:rPr>
        <w:t>(Ministry of Environment</w:t>
      </w:r>
      <w:r w:rsidR="0003368F">
        <w:rPr>
          <w:rFonts w:ascii="Book Antiqua" w:eastAsia="Book Antiqua" w:hAnsi="Book Antiqua" w:cs="Book Antiqua"/>
          <w:sz w:val="20"/>
          <w:szCs w:val="20"/>
        </w:rPr>
        <w:t xml:space="preserve"> </w:t>
      </w:r>
      <w:r w:rsidR="0003368F" w:rsidRPr="0003368F">
        <w:rPr>
          <w:rFonts w:ascii="Book Antiqua" w:eastAsia="Book Antiqua" w:hAnsi="Book Antiqua" w:cs="Book Antiqua"/>
          <w:sz w:val="20"/>
          <w:szCs w:val="20"/>
        </w:rPr>
        <w:t>of the Republic of Indonesia</w:t>
      </w:r>
      <w:r w:rsidR="00A624AD" w:rsidRPr="00A624AD">
        <w:rPr>
          <w:rFonts w:ascii="Book Antiqua" w:eastAsia="Book Antiqua" w:hAnsi="Book Antiqua" w:cs="Book Antiqua"/>
          <w:sz w:val="20"/>
          <w:szCs w:val="20"/>
        </w:rPr>
        <w:t>, 2025)</w:t>
      </w:r>
      <w:r w:rsidR="00CD1C3F" w:rsidRPr="00EB6C4F">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A comparative study by Anuar and Dewayanti (2021) shows that trust between cooperating partners, such as that built within the SPEI program, is a key factor in successful climate governance.</w:t>
      </w:r>
    </w:p>
    <w:p w14:paraId="4F318A03" w14:textId="1601FBF8" w:rsidR="00CD1C3F" w:rsidRPr="00EB6C4F"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Second, the cooperation does not only focus on emission reduction but also considers social justice through the principle of a just energy transition. As implemented in Morocco</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X","id":"ITEM-1","issue":"December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potential","type":"article-journal","volume":"26"},"uris":["http://www.mendeley.com/documents/?uuid=d80bd767-7182-4e62-89d0-80208ab22d18"]}],"mendeley":{"formattedCitation":"(El Hafdaoui et al., 2025)","plainTextFormattedCitation":"(El Hafdaoui et al., 2025)","previouslyFormattedCitation":"(El Hafdaoui et al.,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EB6C4F">
        <w:rPr>
          <w:rFonts w:ascii="Book Antiqua" w:eastAsia="Book Antiqua" w:hAnsi="Book Antiqua" w:cs="Book Antiqua"/>
          <w:noProof/>
          <w:sz w:val="20"/>
          <w:szCs w:val="20"/>
        </w:rPr>
        <w:t>(El Hafdaoui et al., 2025)</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the energy transition process needs to be accompanied by retraining workers in the fossil energy sector and protecting vulnerable communities. Indonesia adopts this principle through the UK PACT program (Partnering for Accelerated Climate Transitions), which provides funding for renewable energy projects in remote areas while involving local communities in the planning and implementation of these projects</w:t>
      </w:r>
      <w:r w:rsidR="00CD1C3F" w:rsidRPr="00EB6C4F">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{"citationItems":[{"id":"ITEM-1","itemData":{"abstract":"This study has investigated Indonesia and UK bilateral cooperation, particularly in the sustainable development sector initiated by domestic agenda and international pressure through the United Nations, which created a sub-organization, United Nations Framework Convention Climate Change (UNFCCC) which focuses on climate change and sustainable development. With that, UNFCCC set a standard for countries by creating a Paris Agreement and set long-term goals for countries to achieve Net-Zero Emission Goal as a commitment to sustainable development. Therefore, it opened the first collaboration of Indonesia-UK, namely the United Kingdom Climate Change Unit Indonesia (UKCCU Indonesia) and continuing with the United Kingdom Partnering for Accelerated Climate Transitions (UK-PACT) as well as the MENTARI program (Towards Indonesia's Low Carbon Energy Transition which this program progressively helps two countries in achieving Net-Zero Emission Goal by implementing low carbon development, green economy, green growth, and green jobs, as well as this research, identify opportunities and challenges of this collaboration such as green investment, high reciprocity, COVID-19 pandemic situation, lack of funding, competing for interest, and greenwash issue that analyze by using theories such as international cooperation theory and green economy theory as well as qualitative method through public references and interview data collection which can enrich the research discussion.","author":[{"dropping-particle":"","family":"Arkantryo","given":"Muhammad Dipta","non-dropping-particle":"","parse-names":false,"suffix":""},{"dropping-particle":"","family":"Susilawati","given":"Ningsih","non-dropping-particle":"","parse-names":false,"suffix":""},{"dropping-particle":"","family":"Aditya","given":"Ida Bagus Putu","non-dropping-particle":"","parse-names":false,"suffix":""},{"dropping-particle":"","family":"Krishnamurti","given":"Indra","non-dropping-particle":"","parse-names":false,"suffix":""}],"container-title":"Liaison Journal of Best","id":"ITEM-1","issue":"1","issued":{"date-parts":[["2023"]]},"page":"51-88","title":"The Partnership Between Indonesia and United Kingdom to Achieve the NetZero Emission Goal on Behalf of Sustainable Development Action","type":"article-journal","volume":"2"},"uris":["http://www.mendeley.com/documents/?uuid=c450e359-08af-4335-a819-639c156aebf8"]}],"mendeley":{"formattedCitation":"(Arkantryo et al., 2023)","plainTextFormattedCitation":"(Arkantryo et al., 2023)","previouslyFormattedCitation":"(Arkantryo et al., 2023)"},"properties":{"noteIndex":0},"schema":"https://github.com/citation-style-language/schema/raw/master/csl-citation.json"}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EB6C4F">
        <w:rPr>
          <w:rFonts w:ascii="Book Antiqua" w:eastAsia="Book Antiqua" w:hAnsi="Book Antiqua" w:cs="Book Antiqua"/>
          <w:noProof/>
          <w:sz w:val="20"/>
          <w:szCs w:val="20"/>
        </w:rPr>
        <w:t>(Arkantryo et al., 2023)</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w:t>
      </w:r>
    </w:p>
    <w:p w14:paraId="3A8879CB" w14:textId="3A2151DD" w:rsidR="00CD1C3F" w:rsidRPr="00EB6C4F"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Third, the theory of complex interdependence by Keohane and Nye (1996) explains how Indonesia and the UK depend on each other to achieve shared climate targets. The UK provides technology and funding, while Indonesia offers great potential for emission reductions, especially through forest management and renewable energy development. However, various challenges such as the ongoing technological capacity gap and less-than-optimal domestic policy coordination must be addressed</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{"citationItems":[{"id":"ITEM-1","itemData":{"DOI":"10.1016/j.renene.2010.09.002","ISSN":"09601481","abstract":"The past decades have witnessed the rapid growth of foreign participation in the renewable energy development in China. This is a result of massive energy demand and the Government's strategy to shadow the role of traditional fossil fuel in the energy mix. This paper critically reviewed the international cooperation in the field of renewable energy with various partners in the new century. The cooperation pattern varies from partner to partner. The results showed that China has benefited from the international cooperation on renewable energy such as accessing to finance and advanced technologies, developing human resources related to renewable energy, and enhancing related policy framework. Major issues associated with the international cooperation are discussed as well. © 2010.","author":[{"dropping-particle":"","family":"Zhao","given":"Zhen Yu","non-dropping-particle":"","parse-names":false,"suffix":""},{"dropping-particle":"","family":"Zuo","given":"Jian","non-dropping-particle":"","parse-names":false,"suffix":""},{"dropping-particle":"","family":"Feng","given":"Tian Tian","non-dropping-particle":"","parse-names":false,"suffix":""},{"dropping-particle":"","family":"Zillante","given":"George","non-dropping-particle":"","parse-names":false,"suffix":""}],"container-title":"Renewable Energy","id":"ITEM-1","issue":"3","issued":{"date-parts":[["2011"]]},"page":"1105-1110","title":"International cooperation on renewable energy development in China - A critical analysis","type":"article-journal","volume":"36"},"uris":["http://www.mendeley.com/documents/?uuid=71142d05-d663-4e37-b8b1-2410edc48b95"]},{"id":"ITEM-2","itemData":{"abstract":"…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Peradaban","id":"ITEM-2","issue":"01","issued":{"date-parts":[["2024"]]},"page":"1-30","title":"Analisis Diskursus Pembangunan Berkelanjutan dalam Upaya Transisi Energi Indonesia Tahun 2015-2022","type":"article-journal","volume":"03"},"uris":["http://www.mendeley.com/documents/?uuid=0f7f1d0f-32f8-435f-94be-48c098e96843"]}],"mendeley":{"formattedCitation":"(Rohma, 2024; Zhao et al., 2011)","plainTextFormattedCitation":"(Rohma, 2024; Zhao et al., 2011)","previouslyFormattedCitation":"(Rohma, 2024; Zhao et al., 2011)"},"properties":{"noteIndex":0},"schema":"https://github.com/citation-style-language/schema/raw/master/csl-citation.json"}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961CFC">
        <w:rPr>
          <w:rFonts w:ascii="Book Antiqua" w:eastAsia="Book Antiqua" w:hAnsi="Book Antiqua" w:cs="Book Antiqua"/>
          <w:noProof/>
          <w:sz w:val="20"/>
          <w:szCs w:val="20"/>
        </w:rPr>
        <w:t>(Rohma, 2024; Zhao et al., 2011)</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One approach is through innovative financing, such as blended finance schemes combining public and private sector investments</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{"citationItems":[{"id":"ITEM-1","itemData":{"DOI":"10.1016/j.eneco.2025.108631","ISSN":"01409883","abstract":"We empirically examine the effects of renewable- and non-renewable electricity generation, globalisation, and domestic gross fixed capital formation on sustainable development in 14 emerging economies from 1990 to 2022. The findings reveal that both stochastic and absolute convergence exist within the sustainable development indices of these economies. The conditional convergence results indicate that domestic gross fixed capital formation and renewable electricity generation promote sustainable development. In contrast, globalisation and non-renewable electricity production negatively affect sustainable development. Finally, employing Phillips-Sul's club convergence methodology, we identify two distinct convergence clubs: Club 1, comprising Brazil, China, Chile, Colombia, Greece, the Korean Republic, and Malaysia, and Club 2, which includes Hungary, Poland, the Philippines, Saudi Arabia, and South Africa. Therefore, we conclude that while emerging countries strive for economic growth, tailored policy frameworks are essential to balance environmental sustainability and growth objectives, while emphasising the need for international cooperation and sustainable practices across both the clubs.","author":[{"dropping-particle":"","family":"Wang","given":"Lingning","non-dropping-particle":"","parse-names":false,"suffix":""},{"dropping-particle":"","family":"Pal","given":"Shreya","non-dropping-particle":"","parse-names":false,"suffix":""},{"dropping-particle":"","family":"Mahalik","given":"Mantu Kumar","non-dropping-particle":"","parse-names":false,"suffix":""},{"dropping-particle":"","family":"Gozgor","given":"Giray","non-dropping-particle":"","parse-names":false,"suffix":""}],"container-title":"Energy Economics","id":"ITEM-1","issue":"April","issued":{"date-parts":[["2025"]]},"page":"108631","publisher":"Elsevier B.V.","title":"Empowering sustainable development in emerging economies: The role of renewable energy and domestic investment","type":"article-journal","volume":"148"},"uris":["http://www.mendeley.com/documents/?uuid=f8ae8a51-1ce8-4c51-8898-703265263a73"]}],"mendeley":{"formattedCitation":"(Wang et al., 2025)","plainTextFormattedCitation":"(Wang et al., 2025)","previouslyFormattedCitation":"(Wang et al.,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961CFC">
        <w:rPr>
          <w:rFonts w:ascii="Book Antiqua" w:eastAsia="Book Antiqua" w:hAnsi="Book Antiqua" w:cs="Book Antiqua"/>
          <w:noProof/>
          <w:sz w:val="20"/>
          <w:szCs w:val="20"/>
        </w:rPr>
        <w:t>(Wang et al., 2025)</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 xml:space="preserve">, </w:t>
      </w:r>
      <w:r w:rsidRPr="00C13E98">
        <w:rPr>
          <w:rFonts w:ascii="Book Antiqua" w:eastAsia="Book Antiqua" w:hAnsi="Book Antiqua" w:cs="Book Antiqua"/>
          <w:sz w:val="20"/>
          <w:szCs w:val="20"/>
        </w:rPr>
        <w:t xml:space="preserve">as well as strengthening regulations by refining </w:t>
      </w:r>
      <w:r>
        <w:rPr>
          <w:rFonts w:ascii="Book Antiqua" w:eastAsia="Book Antiqua" w:hAnsi="Book Antiqua" w:cs="Book Antiqua"/>
          <w:sz w:val="20"/>
          <w:szCs w:val="20"/>
        </w:rPr>
        <w:t xml:space="preserve">Indonesia </w:t>
      </w:r>
      <w:r w:rsidRPr="00C13E98">
        <w:rPr>
          <w:rFonts w:ascii="Book Antiqua" w:eastAsia="Book Antiqua" w:hAnsi="Book Antiqua" w:cs="Book Antiqua"/>
          <w:sz w:val="20"/>
          <w:szCs w:val="20"/>
        </w:rPr>
        <w:t>Presidential Regulation No. 98 of 2021 regarding the Economic Value of Carbon</w:t>
      </w:r>
      <w:r w:rsidR="00CD1C3F" w:rsidRPr="00EB6C4F">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Teknik","id":"ITEM-1","issued":{"date-parts":[["2025"]]},"page":"230-242","title":"Peluang Indonesia Dalam Pasar Karbon Global: Strategi Menjadi Pemain Kunci Di Asia Tenggara","type":"article-journal","volume":"6"},"uris":["http://www.mendeley.com/documents/?uuid=100cc2de-c0f1-4c44-bd2e-5597bd35b82f"]}],"mendeley":{"formattedCitation":"(Wibowo, 2025)","plainTextFormattedCitation":"(Wibowo, 2025)","previouslyFormattedCitation":"(Wibowo,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961CFC">
        <w:rPr>
          <w:rFonts w:ascii="Book Antiqua" w:eastAsia="Book Antiqua" w:hAnsi="Book Antiqua" w:cs="Book Antiqua"/>
          <w:noProof/>
          <w:sz w:val="20"/>
          <w:szCs w:val="20"/>
        </w:rPr>
        <w:t>(Wibowo, 2025)</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w:t>
      </w:r>
    </w:p>
    <w:p w14:paraId="6CDC08DB" w14:textId="1D29FADD" w:rsidR="00C13E98" w:rsidRDefault="00C13E98" w:rsidP="00CD1C3F">
      <w:pPr>
        <w:spacing w:line="240" w:lineRule="auto"/>
        <w:jc w:val="both"/>
        <w:rPr>
          <w:rFonts w:ascii="Book Antiqua" w:eastAsia="Book Antiqua" w:hAnsi="Book Antiqua" w:cs="Book Antiqua"/>
          <w:sz w:val="20"/>
          <w:szCs w:val="20"/>
        </w:rPr>
      </w:pPr>
      <w:r w:rsidRPr="00C13E98">
        <w:rPr>
          <w:rFonts w:ascii="Book Antiqua" w:eastAsia="Book Antiqua" w:hAnsi="Book Antiqua" w:cs="Book Antiqua"/>
          <w:sz w:val="20"/>
          <w:szCs w:val="20"/>
        </w:rPr>
        <w:t xml:space="preserve">When compared to cooperation in other countries, such as Malaysia and the European Union or Morocco and Germany, the Indonesia-UK partnership shows some differences. Technology transfer in this cooperation is still limited to projects like UK PACT, whereas in Malaysia-EU it tends to be more evenly distributed through regional schemes, and in Morocco-Germany it is supported by highly advanced direct investments. In terms of funding, Indonesia-UK cooperation receives around £2.8 million over the next three years </w:t>
      </w:r>
      <w:r w:rsidR="00A624AD" w:rsidRPr="00A624AD">
        <w:rPr>
          <w:rFonts w:ascii="Book Antiqua" w:eastAsia="Book Antiqua" w:hAnsi="Book Antiqua" w:cs="Book Antiqua"/>
          <w:sz w:val="20"/>
          <w:szCs w:val="20"/>
        </w:rPr>
        <w:t>(Ministry of Environment</w:t>
      </w:r>
      <w:r w:rsidR="0003368F">
        <w:rPr>
          <w:rFonts w:ascii="Book Antiqua" w:eastAsia="Book Antiqua" w:hAnsi="Book Antiqua" w:cs="Book Antiqua"/>
          <w:sz w:val="20"/>
          <w:szCs w:val="20"/>
        </w:rPr>
        <w:t xml:space="preserve"> </w:t>
      </w:r>
      <w:r w:rsidR="0003368F" w:rsidRPr="0003368F">
        <w:rPr>
          <w:rFonts w:ascii="Book Antiqua" w:eastAsia="Book Antiqua" w:hAnsi="Book Antiqua" w:cs="Book Antiqua"/>
          <w:sz w:val="20"/>
          <w:szCs w:val="20"/>
        </w:rPr>
        <w:t>of the Republic of Indonesia</w:t>
      </w:r>
      <w:r w:rsidR="00A624AD" w:rsidRPr="00A624AD">
        <w:rPr>
          <w:rFonts w:ascii="Book Antiqua" w:eastAsia="Book Antiqua" w:hAnsi="Book Antiqua" w:cs="Book Antiqua"/>
          <w:sz w:val="20"/>
          <w:szCs w:val="20"/>
        </w:rPr>
        <w:t>, 2025)</w:t>
      </w:r>
      <w:r w:rsidR="00CD1C3F" w:rsidRPr="00EB6C4F">
        <w:rPr>
          <w:rFonts w:ascii="Book Antiqua" w:eastAsia="Book Antiqua" w:hAnsi="Book Antiqua" w:cs="Book Antiqua"/>
          <w:sz w:val="20"/>
          <w:szCs w:val="20"/>
        </w:rPr>
        <w:t xml:space="preserve">, </w:t>
      </w:r>
      <w:r>
        <w:rPr>
          <w:rFonts w:ascii="Book Antiqua" w:eastAsia="Book Antiqua" w:hAnsi="Book Antiqua" w:cs="Book Antiqua"/>
          <w:sz w:val="20"/>
          <w:szCs w:val="20"/>
        </w:rPr>
        <w:t>w</w:t>
      </w:r>
      <w:r w:rsidRPr="00C13E98">
        <w:rPr>
          <w:rFonts w:ascii="Book Antiqua" w:eastAsia="Book Antiqua" w:hAnsi="Book Antiqua" w:cs="Book Antiqua"/>
          <w:sz w:val="20"/>
          <w:szCs w:val="20"/>
        </w:rPr>
        <w:t>hile Malaysia-EU and Morocco-Germany obtain different amounts depending on their program scales. Regarding social justice, Indonesia is only beginning to integrate this principle, whereas Morocco makes it a top priority.</w:t>
      </w:r>
    </w:p>
    <w:p w14:paraId="644D55E3" w14:textId="409B08F2" w:rsidR="00CD1C3F" w:rsidRPr="00EB6C4F" w:rsidRDefault="00134255" w:rsidP="00CD1C3F">
      <w:pPr>
        <w:spacing w:line="240" w:lineRule="auto"/>
        <w:jc w:val="both"/>
        <w:rPr>
          <w:rFonts w:ascii="Book Antiqua" w:eastAsia="Book Antiqua" w:hAnsi="Book Antiqua" w:cs="Book Antiqua"/>
          <w:sz w:val="20"/>
          <w:szCs w:val="20"/>
        </w:rPr>
      </w:pPr>
      <w:r w:rsidRPr="00134255">
        <w:rPr>
          <w:rFonts w:ascii="Book Antiqua" w:eastAsia="Book Antiqua" w:hAnsi="Book Antiqua" w:cs="Book Antiqua"/>
          <w:sz w:val="20"/>
          <w:szCs w:val="20"/>
        </w:rPr>
        <w:t>Critically, the success of this cooperation is evident from the creation of a strong legal framework through</w:t>
      </w:r>
      <w:r>
        <w:rPr>
          <w:rFonts w:ascii="Book Antiqua" w:eastAsia="Book Antiqua" w:hAnsi="Book Antiqua" w:cs="Book Antiqua"/>
          <w:sz w:val="20"/>
          <w:szCs w:val="20"/>
        </w:rPr>
        <w:t xml:space="preserve"> Indonesia</w:t>
      </w:r>
      <w:r w:rsidRPr="00134255">
        <w:rPr>
          <w:rFonts w:ascii="Book Antiqua" w:eastAsia="Book Antiqua" w:hAnsi="Book Antiqua" w:cs="Book Antiqua"/>
          <w:sz w:val="20"/>
          <w:szCs w:val="20"/>
        </w:rPr>
        <w:t xml:space="preserve"> Presidential Regulation No. 98 of 2021 and increased technical capacity in Indonesia. However, challenges remain, including the dominance of the UK in setting the cooperation agenda, which shows that the institutional liberalism approach sometimes overlooks power imbalances between developed and developing countries</w:t>
      </w:r>
      <w:r w:rsidR="00CD1C3F" w:rsidRPr="00EB6C4F">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{"citationItems":[{"id":"ITEM-1","itemData":{"DOI":"10.1017/sus.2025.13","ISSN":"20594798","abstract":"Non-technical summary. Climate change is one of the most salient issues in current international politics. In all but the most optimistic of scenarios, it has the potential to severely impact human life in many parts of the world. Production and consumption patterns under the current liberal economic order contribute significantly to the climate crisis. Yet the norms and ideas that guide climate policy under this order are remarkably persistent in the face of climate change. This article explores why these norms have not yet been challenged, and how theories of international relations help understand the absence of such challenges. Technical summary. Multilateral climate policy has institutionalized a set of norms that may be summarized as liberal environmentalism. Liberal environmentalism presumes that economic growth and environmental protection are not mutually exclusive, but prerequisites for each other, thereby connecting the economic order with environmental policy. This article argues that there is a distinct mismatch between the climate crisis and the stickiness of liberal environmentalism. Although the natural system to be governed is in crisis, the political and normative system tasked with governing it is not. The article thus inquires how crises come about by examining why they sometimes do not. It compares theoretical insights borrowed from liberal institutionalism, constructivism, and neo-realism and explores what may be missing from such approaches to fully grasp the nature of crises in international politics. The article finds that liberal environmentalist norms emerged in the 1990s, cascaded in the early 2000s and became institutionalized in the Copenhagen era, culminating in the Paris Agreement. They are likely to remain unaffected by the current polycrisis in international relations, because institutionalized norms are often resistant to change. Liberal environmentalist norms are now deeply embedded in contemporary climate governance, meaning that they can only be challenged through persistent norm entrepreneurship. Social media summary. Liberal environmentalism persists in global climate policy because of institutionalized norms and the discursive reproduction of these norms.","author":[{"dropping-particle":"","family":"Krogmann","given":"David","non-dropping-particle":"","parse-names":false,"suffix":""}],"container-title":"Global Sustainability","id":"ITEM-1","issued":{"date-parts":[["2025"]]},"title":"Liberal environmentalism and climate change in the polycrisis","type":"article-journal","volume":"8"},"uris":["http://www.mendeley.com/documents/?uuid=57afa4ab-8883-458d-81a5-d39cde9fec23"]}],"mendeley":{"formattedCitation":"(Krogmann, 2025)","plainTextFormattedCitation":"(Krogmann, 2025)","previouslyFormattedCitation":"(Krogmann,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961CFC">
        <w:rPr>
          <w:rFonts w:ascii="Book Antiqua" w:eastAsia="Book Antiqua" w:hAnsi="Book Antiqua" w:cs="Book Antiqua"/>
          <w:noProof/>
          <w:sz w:val="20"/>
          <w:szCs w:val="20"/>
        </w:rPr>
        <w:t>(Krogmann, 2025)</w:t>
      </w:r>
      <w:r w:rsidR="00CD1C3F">
        <w:rPr>
          <w:rFonts w:ascii="Book Antiqua" w:eastAsia="Book Antiqua" w:hAnsi="Book Antiqua" w:cs="Book Antiqua"/>
          <w:sz w:val="20"/>
          <w:szCs w:val="20"/>
        </w:rPr>
        <w:fldChar w:fldCharType="end"/>
      </w:r>
      <w:r w:rsidR="00CD1C3F" w:rsidRPr="00EB6C4F">
        <w:rPr>
          <w:rFonts w:ascii="Book Antiqua" w:eastAsia="Book Antiqua" w:hAnsi="Book Antiqua" w:cs="Book Antiqua"/>
          <w:sz w:val="20"/>
          <w:szCs w:val="20"/>
        </w:rPr>
        <w:t>.</w:t>
      </w:r>
    </w:p>
    <w:p w14:paraId="485B31F5" w14:textId="6D986C27" w:rsidR="00134255" w:rsidRDefault="00134255" w:rsidP="00CD1C3F">
      <w:pPr>
        <w:spacing w:line="240" w:lineRule="auto"/>
        <w:jc w:val="both"/>
        <w:rPr>
          <w:rFonts w:ascii="Book Antiqua" w:eastAsia="Book Antiqua" w:hAnsi="Book Antiqua" w:cs="Book Antiqua"/>
          <w:sz w:val="20"/>
          <w:szCs w:val="20"/>
        </w:rPr>
      </w:pPr>
      <w:r w:rsidRPr="00134255">
        <w:rPr>
          <w:rFonts w:ascii="Book Antiqua" w:eastAsia="Book Antiqua" w:hAnsi="Book Antiqua" w:cs="Book Antiqua"/>
          <w:sz w:val="20"/>
          <w:szCs w:val="20"/>
        </w:rPr>
        <w:t xml:space="preserve">To overcome these challenges, it is recommended to increase funding allocation by adopting the model applied in Morocco, which involves more multilateral partners such as the World Bank and the Asian Development Bank. Additionally, the involvement of local actors, such as indigenous communities and micro, small, and medium enterprises, should be strengthened to ensure that energy transition projects proceed fairly and sustainably </w:t>
      </w:r>
      <w:r w:rsidR="00CD1C3F" w:rsidRPr="00EB6C4F">
        <w:rPr>
          <w:rFonts w:ascii="Book Antiqua" w:eastAsia="Book Antiqua" w:hAnsi="Book Antiqua" w:cs="Book Antiqua"/>
          <w:sz w:val="20"/>
          <w:szCs w:val="20"/>
        </w:rPr>
        <w:t>(United Nations Indonesia, 2022).</w:t>
      </w:r>
    </w:p>
    <w:p w14:paraId="0B88FA21" w14:textId="77777777" w:rsidR="00F36417" w:rsidRDefault="00F36417" w:rsidP="00CD1C3F">
      <w:pPr>
        <w:spacing w:line="240" w:lineRule="auto"/>
        <w:jc w:val="both"/>
        <w:rPr>
          <w:rFonts w:ascii="Book Antiqua" w:eastAsia="Book Antiqua" w:hAnsi="Book Antiqua" w:cs="Book Antiqua"/>
          <w:b/>
          <w:bCs/>
          <w:sz w:val="20"/>
          <w:szCs w:val="20"/>
        </w:rPr>
      </w:pPr>
      <w:r w:rsidRPr="00F36417">
        <w:rPr>
          <w:rFonts w:ascii="Book Antiqua" w:eastAsia="Book Antiqua" w:hAnsi="Book Antiqua" w:cs="Book Antiqua"/>
          <w:b/>
          <w:bCs/>
          <w:sz w:val="20"/>
          <w:szCs w:val="20"/>
        </w:rPr>
        <w:lastRenderedPageBreak/>
        <w:t>Promotion of the Carbon Market</w:t>
      </w:r>
    </w:p>
    <w:p w14:paraId="14D154C7" w14:textId="112760C5" w:rsidR="00CD1C3F" w:rsidRPr="00DA3593" w:rsidRDefault="00F36417" w:rsidP="00CD1C3F">
      <w:pPr>
        <w:spacing w:line="240" w:lineRule="auto"/>
        <w:jc w:val="both"/>
        <w:rPr>
          <w:rFonts w:ascii="Book Antiqua" w:eastAsia="Book Antiqua" w:hAnsi="Book Antiqua" w:cs="Book Antiqua"/>
          <w:sz w:val="20"/>
          <w:szCs w:val="20"/>
        </w:rPr>
      </w:pPr>
      <w:r w:rsidRPr="00F36417">
        <w:rPr>
          <w:rFonts w:ascii="Book Antiqua" w:eastAsia="Book Antiqua" w:hAnsi="Book Antiqua" w:cs="Book Antiqua"/>
          <w:sz w:val="20"/>
          <w:szCs w:val="20"/>
        </w:rPr>
        <w:t>The promotion of the carbon market can be understood through the framework of institutional liberalism proposed by Keohane (2012). The carbon market functions as an institution that facilitates cooperation between countries through market-based mechanisms, allowing nations to meet emission reduction targets flexibly via carbon credit trading. In addition, this system creates economic incentives that encourage the transition to cleaner energy, as explained by Axelrod and Keohane (1985). In the context of Indonesia-UK cooperation, there are complementary interests; the UK has experience managing the UK Emissions Trading Scheme (UK ETS), while Indonesia offers significant potential for emission reductions in the forestry and energy sectors</w:t>
      </w:r>
      <w:r w:rsidR="00CD1C3F" w:rsidRPr="00DA3593">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Teknik","id":"ITEM-1","issued":{"date-parts":[["2025"]]},"page":"230-242","title":"Peluang Indonesia Dalam Pasar Karbon Global: Strategi Menjadi Pemain Kunci Di Asia Tenggara","type":"article-journal","volume":"6"},"uris":["http://www.mendeley.com/documents/?uuid=100cc2de-c0f1-4c44-bd2e-5597bd35b82f"]}],"mendeley":{"formattedCitation":"(Wibowo, 2025)","plainTextFormattedCitation":"(Wibowo, 2025)","previouslyFormattedCitation":"(Wibowo,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776209">
        <w:rPr>
          <w:rFonts w:ascii="Book Antiqua" w:eastAsia="Book Antiqua" w:hAnsi="Book Antiqua" w:cs="Book Antiqua"/>
          <w:noProof/>
          <w:sz w:val="20"/>
          <w:szCs w:val="20"/>
        </w:rPr>
        <w:t>(Wibowo, 2025)</w:t>
      </w:r>
      <w:r w:rsidR="00CD1C3F">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 xml:space="preserve">. </w:t>
      </w:r>
      <w:r w:rsidRPr="00F36417">
        <w:rPr>
          <w:rFonts w:ascii="Book Antiqua" w:eastAsia="Book Antiqua" w:hAnsi="Book Antiqua" w:cs="Book Antiqua"/>
          <w:sz w:val="20"/>
          <w:szCs w:val="20"/>
        </w:rPr>
        <w:t>These two countries also exhibit complex interdependence, where the UK requires carbon credits to achieve its net-zero target, and Indonesia needs funding and technology to develop its domestic carbon market</w:t>
      </w:r>
      <w:r>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{"citationItems":[{"id":"ITEM-1","itemData":{"DOI":"10.1016/s0164-0704(96)80090-5","ISBN":"9780205082919","ISSN":"01640704","abstract":"4th ed. In revising classic works in political science, Longman celebrates the contributions its authors and their research have made to the discipline. The Longman Classics in Political Science series honors these authors and their work. Providing students with an updated context, each title in the series includes a new foreword, written by one of today's top scholars, offering afresh, in-depth analysis of the book and its enduring contributions. Foreword / Fareed Zakaria -- Preface to First Edition -- Preface to Second Edition -- Preface to Third Edition -- Preface to Fourth Edition -- Part I. Understanding Interdependence -- Chapter 1. Interdependence in World Politics -- The New Rhetoric of Interdependence -- Interdependence as an Analytic Concept -- Power and Interdependence -- International Regime Change -- Chapter 2. Realism and Complex Interdependence -- The Characteristics of Complex Interdependence -- Multiple Channels -- Absence of Hierarchy among Issues -- Minor Role of Military Force -- The Political Processes of Complex Interdependence -- Linkage Strategies -- Agenda Setting -- Transnational and Transgovernmental Relations -- Role of International Organizations -- Chapter 3. Explaining International Regime Change -- An Economic Process Explanation -- Overall Power Structure Explanation -- Eroding Hegemony -- Limitations of an Overall Structure Explanation -- Issue Structure -- Limitations of Structural Explanations -- An International Organization Model -- Combining Explanations -- Part II. Regime Change in Oceans and Money -- Chapter 4. The Politics of Oceans and Money: Historical Overview -- The International Monetary Issue Area -- The International Gold Standard Before 1914 -- International Monetary Regimes, 1920-76 -- The Oceans Issue Area -- Defining the Issue Area -- The Classical Free Seas Regime -- Regime Periods, 1920-75 -- The Changing Agenda of Oceans Politics -- Conclusion -- Chapter 5. Complex Interdependence in Oceans and Money -- The Conditions of Complex Interdependence -- Role of Force -- Absence of Hierarchy among Issues -- Multiple Channels of Contact -- Money, Oceans, and Complex Interdependence -- The Political Process in Money and Oceans -- Goals of Actors -- Instruments of State Policy -- Agenda Formation -- Linkage of Issues -- Roles of International Organizations -- Conclusion -- Chapter 6. The Politics of Rule-Making in Oceans and Money -- Economic Processes and Regime Change -- Overall Structure and Regime Change…","author":[{"dropping-particle":"","family":"Keohane","given":"Robert O","non-dropping-particle":"","parse-names":false,"suffix":""},{"dropping-particle":"","family":"Nye","given":"Joseph S","non-dropping-particle":"","parse-names":false,"suffix":""}],"container-title":"Journal of Macroeconomics","id":"ITEM-1","issue":"2","issued":{"date-parts":[["1996"]]},"number-of-pages":"377","title":"Understanding interdependence","type":"book","volume":"18"},"uris":["http://www.mendeley.com/documents/?uuid=3734d8f9-f559-409d-bd52-de79f95e86ad"]}],"mendeley":{"formattedCitation":"(Keohane &amp; Nye, 1996)","plainTextFormattedCitation":"(Keohane &amp; Nye, 1996)","previouslyFormattedCitation":"(Keohane &amp; Nye, 1996)"},"properties":{"noteIndex":0},"schema":"https://github.com/citation-style-language/schema/raw/master/csl-citation.json"}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776209">
        <w:rPr>
          <w:rFonts w:ascii="Book Antiqua" w:eastAsia="Book Antiqua" w:hAnsi="Book Antiqua" w:cs="Book Antiqua"/>
          <w:noProof/>
          <w:sz w:val="20"/>
          <w:szCs w:val="20"/>
        </w:rPr>
        <w:t>(Keohane &amp; Nye, 1996)</w:t>
      </w:r>
      <w:r w:rsidR="00CD1C3F">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w:t>
      </w:r>
    </w:p>
    <w:p w14:paraId="3DAE13E2" w14:textId="6A4904FC" w:rsidR="00CD1C3F" w:rsidRPr="00DA3593" w:rsidRDefault="00F36417" w:rsidP="00CD1C3F">
      <w:pPr>
        <w:spacing w:line="240" w:lineRule="auto"/>
        <w:jc w:val="both"/>
        <w:rPr>
          <w:rFonts w:ascii="Book Antiqua" w:eastAsia="Book Antiqua" w:hAnsi="Book Antiqua" w:cs="Book Antiqua"/>
          <w:sz w:val="20"/>
          <w:szCs w:val="20"/>
        </w:rPr>
      </w:pPr>
      <w:r w:rsidRPr="00F36417">
        <w:rPr>
          <w:rFonts w:ascii="Book Antiqua" w:eastAsia="Book Antiqua" w:hAnsi="Book Antiqua" w:cs="Book Antiqua"/>
          <w:sz w:val="20"/>
          <w:szCs w:val="20"/>
        </w:rPr>
        <w:t>The UK’s role in developing Indonesia’s carbon market is evident through technical support provided via the SPEI program (Indonesia’s Greenhouse Gas Emission Reduction Certificate). This program helps Indonesia build a Measurement, Reporting, and Verification (MRV) system that meets international standards. However, comparative studies show that technical support alone is not enough without active participation from the private sector, as seen in Malaysia’s experience</w:t>
      </w:r>
      <w:r w:rsidR="00CD1C3F">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{"citationItems":[{"id":"ITEM-1","itemData":{"DOI":"10.1111/polp.12409","ISSN":"17471346","abstract":"Studies on renewable energy (RE) policies and policy making have generally focused on the Global North. This article homes in on how trust, an underexamined concept in the multi-level governance literature, affects RE trajectories in Malaysia and Indonesia. Through comparative analysis, we find that different levels of trust result in similar degrees of RE policy support, but dissimilar degrees of engagement between state and societal actors in RE policy making. Negative expectations of the social grievances engendered by RE transitions contribute to reluctant, though legitimized, pursuits of clean energy production and consumption. Meanwhile, trust in actors' nationalism—that is, in opposing a Global North environmental agenda and demonstrating constitutionally aligned resource management in Malaysia and Indonesia, respectively—facilitates more inclusive policy making. Due to greater nationalism, Indonesia's state-society engagement in RE governance is stronger and leads to a civil RE movement that outpaces Malaysia's overall. Related Articles: Ash, John. 2010. “New Nuclear Energy, Risk, and Justice: Regulatory Strategies for an era of Limited Trust.” Politics &amp; Policy 38 (2): 225-284. https://doi.org/10.1111/j.1747-1346.2010.00237.x. Khodr, Hiba, and Isabella Ruble. 2013. “Energy Policies and Domestic Politics in the MENA Region in the Aftermath of the Arab Upheavals: The Cases of Lebanon, Libya, and KSA.” Politics &amp; Policy 41 (5): 656-689. https://doi.org/10.1111/polp.12033. Wood, Steve. 2009. “Energy Security, Normative Dilemmas, and Institutional Camouflage: Europe's Pragmatism.” Politics &amp; Policy 37 (3): 611-635. https://doi.org/10.1111/j.1747-1346.2009.00187.x.","author":[{"dropping-particle":"","family":"Anuar","given":"Amalina","non-dropping-particle":"","parse-names":false,"suffix":""},{"dropping-particle":"","family":"Dewayanti","given":"Aninda","non-dropping-particle":"","parse-names":false,"suffix":""}],"container-title":"Politics and Policy","id":"ITEM-1","issue":"3","issued":{"date-parts":[["2021"]]},"page":"740-770","title":"Trust in the Process: Renewable Energy Governance in Malaysia and Indonesia","type":"article-journal","volume":"49"},"uris":["http://www.mendeley.com/documents/?uuid=fe089994-4776-4b80-a866-5aa3331491fa"]}],"mendeley":{"formattedCitation":"(Anuar &amp; Dewayanti, 2021)","plainTextFormattedCitation":"(Anuar &amp; Dewayanti, 2021)","previouslyFormattedCitation":"(Anuar &amp; Dewayanti, 2021)"},"properties":{"noteIndex":0},"schema":"https://github.com/citation-style-language/schema/raw/master/csl-citation.json"}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776209">
        <w:rPr>
          <w:rFonts w:ascii="Book Antiqua" w:eastAsia="Book Antiqua" w:hAnsi="Book Antiqua" w:cs="Book Antiqua"/>
          <w:noProof/>
          <w:sz w:val="20"/>
          <w:szCs w:val="20"/>
        </w:rPr>
        <w:t>(Anuar &amp; Dewayanti, 2021)</w:t>
      </w:r>
      <w:r w:rsidR="00CD1C3F">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 xml:space="preserve">. </w:t>
      </w:r>
      <w:r w:rsidRPr="00F36417">
        <w:rPr>
          <w:rFonts w:ascii="Book Antiqua" w:eastAsia="Book Antiqua" w:hAnsi="Book Antiqua" w:cs="Book Antiqua"/>
          <w:sz w:val="20"/>
          <w:szCs w:val="20"/>
        </w:rPr>
        <w:t>Additionally, financial support is provided through the UK PACT program (Partnering for Accelerated Climate Transitions), which funds training and the development of a digital carbon trading platform. Nevertheless, this funding remains limited and has not yet reached a full national scale</w:t>
      </w:r>
      <w:r w:rsidR="00CD1C3F" w:rsidRPr="00DA3593">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{"citationItems":[{"id":"ITEM-1","itemData":{"abstract":"This study has investigated Indonesia and UK bilateral cooperation, particularly in the sustainable development sector initiated by domestic agenda and international pressure through the United Nations, which created a sub-organization, United Nations Framework Convention Climate Change (UNFCCC) which focuses on climate change and sustainable development. With that, UNFCCC set a standard for countries by creating a Paris Agreement and set long-term goals for countries to achieve Net-Zero Emission Goal as a commitment to sustainable development. Therefore, it opened the first collaboration of Indonesia-UK, namely the United Kingdom Climate Change Unit Indonesia (UKCCU Indonesia) and continuing with the United Kingdom Partnering for Accelerated Climate Transitions (UK-PACT) as well as the MENTARI program (Towards Indonesia's Low Carbon Energy Transition which this program progressively helps two countries in achieving Net-Zero Emission Goal by implementing low carbon development, green economy, green growth, and green jobs, as well as this research, identify opportunities and challenges of this collaboration such as green investment, high reciprocity, COVID-19 pandemic situation, lack of funding, competing for interest, and greenwash issue that analyze by using theories such as international cooperation theory and green economy theory as well as qualitative method through public references and interview data collection which can enrich the research discussion.","author":[{"dropping-particle":"","family":"Arkantryo","given":"Muhammad Dipta","non-dropping-particle":"","parse-names":false,"suffix":""},{"dropping-particle":"","family":"Susilawati","given":"Ningsih","non-dropping-particle":"","parse-names":false,"suffix":""},{"dropping-particle":"","family":"Aditya","given":"Ida Bagus Putu","non-dropping-particle":"","parse-names":false,"suffix":""},{"dropping-particle":"","family":"Krishnamurti","given":"Indra","non-dropping-particle":"","parse-names":false,"suffix":""}],"container-title":"Liaison Journal of Best","id":"ITEM-1","issue":"1","issued":{"date-parts":[["2023"]]},"page":"51-88","title":"The Partnership Between Indonesia and United Kingdom to Achieve the NetZero Emission Goal on Behalf of Sustainable Development Action","type":"article-journal","volume":"2"},"uris":["http://www.mendeley.com/documents/?uuid=c450e359-08af-4335-a819-639c156aebf8"]}],"mendeley":{"formattedCitation":"(Arkantryo et al., 2023)","plainTextFormattedCitation":"(Arkantryo et al., 2023)","previouslyFormattedCitation":"(Arkantryo et al., 2023)"},"properties":{"noteIndex":0},"schema":"https://github.com/citation-style-language/schema/raw/master/csl-citation.json"}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776209">
        <w:rPr>
          <w:rFonts w:ascii="Book Antiqua" w:eastAsia="Book Antiqua" w:hAnsi="Book Antiqua" w:cs="Book Antiqua"/>
          <w:noProof/>
          <w:sz w:val="20"/>
          <w:szCs w:val="20"/>
        </w:rPr>
        <w:t>(Arkantryo et al., 2023)</w:t>
      </w:r>
      <w:r w:rsidR="00CD1C3F">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w:t>
      </w:r>
    </w:p>
    <w:p w14:paraId="5A3DAAC7" w14:textId="6CA19747" w:rsidR="00CD1C3F" w:rsidRPr="00DA3593" w:rsidRDefault="00C92394" w:rsidP="00CD1C3F">
      <w:pPr>
        <w:spacing w:line="240" w:lineRule="auto"/>
        <w:jc w:val="both"/>
        <w:rPr>
          <w:rFonts w:ascii="Book Antiqua" w:eastAsia="Book Antiqua" w:hAnsi="Book Antiqua" w:cs="Book Antiqua"/>
          <w:sz w:val="20"/>
          <w:szCs w:val="20"/>
        </w:rPr>
      </w:pPr>
      <w:r w:rsidRPr="00C92394">
        <w:rPr>
          <w:rFonts w:ascii="Book Antiqua" w:eastAsia="Book Antiqua" w:hAnsi="Book Antiqua" w:cs="Book Antiqua"/>
          <w:sz w:val="20"/>
          <w:szCs w:val="20"/>
        </w:rPr>
        <w:t xml:space="preserve">In terms of achievements, Indonesia’s carbon market has shown significant progress following cooperation with the UK. This success is supported by the adoption of </w:t>
      </w:r>
      <w:r w:rsidR="00A37CBB">
        <w:rPr>
          <w:rFonts w:ascii="Book Antiqua" w:eastAsia="Book Antiqua" w:hAnsi="Book Antiqua" w:cs="Book Antiqua"/>
          <w:sz w:val="20"/>
          <w:szCs w:val="20"/>
        </w:rPr>
        <w:t>Indonesia's</w:t>
      </w:r>
      <w:r>
        <w:rPr>
          <w:rFonts w:ascii="Book Antiqua" w:eastAsia="Book Antiqua" w:hAnsi="Book Antiqua" w:cs="Book Antiqua"/>
          <w:sz w:val="20"/>
          <w:szCs w:val="20"/>
        </w:rPr>
        <w:t xml:space="preserve"> </w:t>
      </w:r>
      <w:r w:rsidRPr="00C92394">
        <w:rPr>
          <w:rFonts w:ascii="Book Antiqua" w:eastAsia="Book Antiqua" w:hAnsi="Book Antiqua" w:cs="Book Antiqua"/>
          <w:sz w:val="20"/>
          <w:szCs w:val="20"/>
        </w:rPr>
        <w:t>Presidential Regulation No. 98 of 2021 on the Economic Value of Carbon, which serves as a legal foundation for the carbon market in Indonesia</w:t>
      </w:r>
      <w:r w:rsidR="00CD1C3F" w:rsidRPr="00DA3593">
        <w:rPr>
          <w:rFonts w:ascii="Book Antiqua" w:eastAsia="Book Antiqua" w:hAnsi="Book Antiqua" w:cs="Book Antiqua"/>
          <w:sz w:val="20"/>
          <w:szCs w:val="20"/>
        </w:rPr>
        <w:t xml:space="preserve">, </w:t>
      </w:r>
      <w:r w:rsidRPr="00C92394">
        <w:rPr>
          <w:rFonts w:ascii="Book Antiqua" w:eastAsia="Book Antiqua" w:hAnsi="Book Antiqua" w:cs="Book Antiqua"/>
          <w:sz w:val="20"/>
          <w:szCs w:val="20"/>
        </w:rPr>
        <w:t>as well as tax incentives that encourage private sector participation</w:t>
      </w:r>
      <w:r w:rsidR="00CD1C3F" w:rsidRPr="00DA3593">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{"citationItems":[{"id":"ITEM-1","itemData":{"DOI":"10.1016/j.eneco.2025.108631","ISSN":"01409883","abstract":"We empirically examine the effects of renewable- and non-renewable electricity generation, globalisation, and domestic gross fixed capital formation on sustainable development in 14 emerging economies from 1990 to 2022. The findings reveal that both stochastic and absolute convergence exist within the sustainable development indices of these economies. The conditional convergence results indicate that domestic gross fixed capital formation and renewable electricity generation promote sustainable development. In contrast, globalisation and non-renewable electricity production negatively affect sustainable development. Finally, employing Phillips-Sul's club convergence methodology, we identify two distinct convergence clubs: Club 1, comprising Brazil, China, Chile, Colombia, Greece, the Korean Republic, and Malaysia, and Club 2, which includes Hungary, Poland, the Philippines, Saudi Arabia, and South Africa. Therefore, we conclude that while emerging countries strive for economic growth, tailored policy frameworks are essential to balance environmental sustainability and growth objectives, while emphasising the need for international cooperation and sustainable practices across both the clubs.","author":[{"dropping-particle":"","family":"Wang","given":"Lingning","non-dropping-particle":"","parse-names":false,"suffix":""},{"dropping-particle":"","family":"Pal","given":"Shreya","non-dropping-particle":"","parse-names":false,"suffix":""},{"dropping-particle":"","family":"Mahalik","given":"Mantu Kumar","non-dropping-particle":"","parse-names":false,"suffix":""},{"dropping-particle":"","family":"Gozgor","given":"Giray","non-dropping-particle":"","parse-names":false,"suffix":""}],"container-title":"Energy Economics","id":"ITEM-1","issue":"April","issued":{"date-parts":[["2025"]]},"page":"108631","publisher":"Elsevier B.V.","title":"Empowering sustainable development in emerging economies: The role of renewable energy and domestic investment","type":"article-journal","volume":"148"},"uris":["http://www.mendeley.com/documents/?uuid=f8ae8a51-1ce8-4c51-8898-703265263a73"]}],"mendeley":{"formattedCitation":"(Wang et al., 2025)","plainTextFormattedCitation":"(Wang et al., 2025)","previouslyFormattedCitation":"(Wang et al., 2025)"},"properties":{"noteIndex":0},"schema":"https://github.com/citation-style-language/schema/raw/master/csl-citation.json"}</w:instrText>
      </w:r>
      <w:r>
        <w:rPr>
          <w:rFonts w:ascii="Book Antiqua" w:eastAsia="Book Antiqua" w:hAnsi="Book Antiqua" w:cs="Book Antiqua"/>
          <w:sz w:val="20"/>
          <w:szCs w:val="20"/>
        </w:rPr>
        <w:fldChar w:fldCharType="separate"/>
      </w:r>
      <w:r w:rsidRPr="00C92394">
        <w:rPr>
          <w:rFonts w:ascii="Book Antiqua" w:eastAsia="Book Antiqua" w:hAnsi="Book Antiqua" w:cs="Book Antiqua"/>
          <w:noProof/>
          <w:sz w:val="20"/>
          <w:szCs w:val="20"/>
        </w:rPr>
        <w:t>(Wang et al., 2025)</w:t>
      </w:r>
      <w:r>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 xml:space="preserve">. </w:t>
      </w:r>
      <w:r w:rsidRPr="00C92394">
        <w:rPr>
          <w:rFonts w:ascii="Book Antiqua" w:eastAsia="Book Antiqua" w:hAnsi="Book Antiqua" w:cs="Book Antiqua"/>
          <w:sz w:val="20"/>
          <w:szCs w:val="20"/>
        </w:rPr>
        <w:t>However, challenges remain, such as overlapping regulations between the Ministry of Environment and Forestry and the Ministry of Energy and Mineral Resources</w:t>
      </w:r>
      <w:r>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ADDIN CSL_CITATION {"citationItems":[{"id":"ITEM-1","itemData":{"abstract":"…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Peradaban","id":"ITEM-1","issue":"01","issued":{"date-parts":[["2024"]]},"page":"1-30","title":"Analisis Diskursus Pembangunan Berkelanjutan dalam Upaya Transisi Energi Indonesia Tahun 2015-2022","type":"article-journal","volume":"03"},"uris":["http://www.mendeley.com/documents/?uuid=0f7f1d0f-32f8-435f-94be-48c098e96843"]}],"mendeley":{"formattedCitation":"(Rohma, 2024)","plainTextFormattedCitation":"(Rohma, 2024)","previouslyFormattedCitation":"(Rohma, 2024)"},"properties":{"noteIndex":0},"schema":"https://github.com/citation-style-language/schema/raw/master/csl-citation.json"}</w:instrText>
      </w:r>
      <w:r>
        <w:rPr>
          <w:rFonts w:ascii="Book Antiqua" w:eastAsia="Book Antiqua" w:hAnsi="Book Antiqua" w:cs="Book Antiqua"/>
          <w:sz w:val="20"/>
          <w:szCs w:val="20"/>
        </w:rPr>
        <w:fldChar w:fldCharType="separate"/>
      </w:r>
      <w:r w:rsidRPr="00C92394">
        <w:rPr>
          <w:rFonts w:ascii="Book Antiqua" w:eastAsia="Book Antiqua" w:hAnsi="Book Antiqua" w:cs="Book Antiqua"/>
          <w:noProof/>
          <w:sz w:val="20"/>
          <w:szCs w:val="20"/>
        </w:rPr>
        <w:t>(Rohma, 2024)</w:t>
      </w:r>
      <w:r>
        <w:rPr>
          <w:rFonts w:ascii="Book Antiqua" w:eastAsia="Book Antiqua" w:hAnsi="Book Antiqua" w:cs="Book Antiqua"/>
          <w:sz w:val="20"/>
          <w:szCs w:val="20"/>
        </w:rPr>
        <w:fldChar w:fldCharType="end"/>
      </w:r>
      <w:r>
        <w:rPr>
          <w:rFonts w:ascii="Book Antiqua" w:eastAsia="Book Antiqua" w:hAnsi="Book Antiqua" w:cs="Book Antiqua"/>
          <w:sz w:val="20"/>
          <w:szCs w:val="20"/>
        </w:rPr>
        <w:t>,</w:t>
      </w:r>
      <w:r w:rsidR="00CD1C3F" w:rsidRPr="00DA3593">
        <w:rPr>
          <w:rFonts w:ascii="Book Antiqua" w:eastAsia="Book Antiqua" w:hAnsi="Book Antiqua" w:cs="Book Antiqua"/>
          <w:sz w:val="20"/>
          <w:szCs w:val="20"/>
        </w:rPr>
        <w:t xml:space="preserve"> </w:t>
      </w:r>
      <w:r w:rsidRPr="00C92394">
        <w:rPr>
          <w:rFonts w:ascii="Book Antiqua" w:eastAsia="Book Antiqua" w:hAnsi="Book Antiqua" w:cs="Book Antiqua"/>
          <w:sz w:val="20"/>
          <w:szCs w:val="20"/>
        </w:rPr>
        <w:t>as well as Indonesia’s dependence on imported MRV (Measurement, Reporting, Verification) technology, which limits technological independence</w:t>
      </w:r>
      <w:r w:rsidR="00CD1C3F" w:rsidRPr="00DA3593">
        <w:rPr>
          <w:rFonts w:ascii="Book Antiqua" w:eastAsia="Book Antiqua" w:hAnsi="Book Antiqua" w:cs="Book Antiqua"/>
          <w:sz w:val="20"/>
          <w:szCs w:val="20"/>
        </w:rPr>
        <w:t xml:space="preserve"> (Zhao et al., 2011).</w:t>
      </w:r>
    </w:p>
    <w:p w14:paraId="0ACD80CB" w14:textId="40275672" w:rsidR="00CD1C3F" w:rsidRPr="00DA3593" w:rsidRDefault="00C92394" w:rsidP="00CD1C3F">
      <w:pPr>
        <w:spacing w:line="240" w:lineRule="auto"/>
        <w:jc w:val="both"/>
        <w:rPr>
          <w:rFonts w:ascii="Book Antiqua" w:eastAsia="Book Antiqua" w:hAnsi="Book Antiqua" w:cs="Book Antiqua"/>
          <w:sz w:val="20"/>
          <w:szCs w:val="20"/>
        </w:rPr>
      </w:pPr>
      <w:r w:rsidRPr="00C92394">
        <w:rPr>
          <w:rFonts w:ascii="Book Antiqua" w:eastAsia="Book Antiqua" w:hAnsi="Book Antiqua" w:cs="Book Antiqua"/>
          <w:sz w:val="20"/>
          <w:szCs w:val="20"/>
        </w:rPr>
        <w:t>To address these challenges, it is recommended to expand funding by adopting a blended finance model, as implemented in Morocco, where public and private investments, along with multilateral bank support, are involved simultaneously</w:t>
      </w:r>
      <w:r w:rsidR="00CD1C3F" w:rsidRPr="00DA3593">
        <w:rPr>
          <w:rFonts w:ascii="Book Antiqua" w:eastAsia="Book Antiqua" w:hAnsi="Book Antiqua" w:cs="Book Antiqua"/>
          <w:sz w:val="20"/>
          <w:szCs w:val="20"/>
        </w:rPr>
        <w:t xml:space="preserve"> </w:t>
      </w:r>
      <w:r>
        <w:rPr>
          <w:rFonts w:ascii="Book Antiqua" w:eastAsia="Book Antiqua" w:hAnsi="Book Antiqua" w:cs="Book Antiqua"/>
          <w:sz w:val="20"/>
          <w:szCs w:val="20"/>
        </w:rPr>
        <w:fldChar w:fldCharType="begin" w:fldLock="1"/>
      </w:r>
      <w:r w:rsidR="005B2CB3">
        <w:rPr>
          <w:rFonts w:ascii="Book Antiqua" w:eastAsia="Book Antiqua" w:hAnsi="Book Antiqua" w:cs="Book Antiqua"/>
          <w:sz w:val="20"/>
          <w:szCs w:val="20"/>
        </w:rPr>
        <w:instrText>ADDIN CSL_CITATION {"citationItems":[{"id":"ITEM-1","itemData":{"DOI":"10.1016/j.ecmx.2025.100967","ISSN":"25901745","abstract":"The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X","id":"ITEM-1","issue":"December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potential","type":"article-journal","volume":"26"},"uris":["http://www.mendeley.com/documents/?uuid=d80bd767-7182-4e62-89d0-80208ab22d18"]}],"mendeley":{"formattedCitation":"(El Hafdaoui et al., 2025)","plainTextFormattedCitation":"(El Hafdaoui et al., 2025)","previouslyFormattedCitation":"(El Hafdaoui et al., 2025)"},"properties":{"noteIndex":0},"schema":"https://github.com/citation-style-language/schema/raw/master/csl-citation.json"}</w:instrText>
      </w:r>
      <w:r>
        <w:rPr>
          <w:rFonts w:ascii="Book Antiqua" w:eastAsia="Book Antiqua" w:hAnsi="Book Antiqua" w:cs="Book Antiqua"/>
          <w:sz w:val="20"/>
          <w:szCs w:val="20"/>
        </w:rPr>
        <w:fldChar w:fldCharType="separate"/>
      </w:r>
      <w:r w:rsidRPr="00C92394">
        <w:rPr>
          <w:rFonts w:ascii="Book Antiqua" w:eastAsia="Book Antiqua" w:hAnsi="Book Antiqua" w:cs="Book Antiqua"/>
          <w:noProof/>
          <w:sz w:val="20"/>
          <w:szCs w:val="20"/>
        </w:rPr>
        <w:t>(El Hafdaoui et al., 2025)</w:t>
      </w:r>
      <w:r>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 xml:space="preserve">. </w:t>
      </w:r>
      <w:r w:rsidRPr="00C92394">
        <w:rPr>
          <w:rFonts w:ascii="Book Antiqua" w:eastAsia="Book Antiqua" w:hAnsi="Book Antiqua" w:cs="Book Antiqua"/>
          <w:sz w:val="20"/>
          <w:szCs w:val="20"/>
        </w:rPr>
        <w:t>Strengthening local capacity is also crucial, for example</w:t>
      </w:r>
      <w:r w:rsidR="00A37CBB">
        <w:rPr>
          <w:rFonts w:ascii="Book Antiqua" w:eastAsia="Book Antiqua" w:hAnsi="Book Antiqua" w:cs="Book Antiqua"/>
          <w:sz w:val="20"/>
          <w:szCs w:val="20"/>
        </w:rPr>
        <w:t>,</w:t>
      </w:r>
      <w:r w:rsidRPr="00C92394">
        <w:rPr>
          <w:rFonts w:ascii="Book Antiqua" w:eastAsia="Book Antiqua" w:hAnsi="Book Antiqua" w:cs="Book Antiqua"/>
          <w:sz w:val="20"/>
          <w:szCs w:val="20"/>
        </w:rPr>
        <w:t xml:space="preserve"> through collaboration between universities and industry to develop domestically produced MRV technology</w:t>
      </w:r>
      <w:r>
        <w:rPr>
          <w:rFonts w:ascii="Book Antiqua" w:eastAsia="Book Antiqua" w:hAnsi="Book Antiqua" w:cs="Book Antiqua"/>
          <w:sz w:val="20"/>
          <w:szCs w:val="20"/>
        </w:rPr>
        <w:t xml:space="preserve">. </w:t>
      </w:r>
      <w:r w:rsidR="005B2CB3" w:rsidRPr="005B2CB3">
        <w:rPr>
          <w:rFonts w:ascii="Book Antiqua" w:eastAsia="Book Antiqua" w:hAnsi="Book Antiqua" w:cs="Book Antiqua"/>
          <w:sz w:val="20"/>
          <w:szCs w:val="20"/>
        </w:rPr>
        <w:t>Incentives for the private sector should be expanded by improving tax incentive schemes and easing permitting processes to increase investment interest</w:t>
      </w:r>
      <w:r w:rsidR="00CD1C3F" w:rsidRPr="00DA3593">
        <w:rPr>
          <w:rFonts w:ascii="Book Antiqua" w:eastAsia="Book Antiqua" w:hAnsi="Book Antiqua" w:cs="Book Antiqua"/>
          <w:sz w:val="20"/>
          <w:szCs w:val="20"/>
        </w:rPr>
        <w:t xml:space="preserve"> </w:t>
      </w:r>
      <w:r w:rsidR="005B2CB3">
        <w:rPr>
          <w:rFonts w:ascii="Book Antiqua" w:eastAsia="Book Antiqua" w:hAnsi="Book Antiqua" w:cs="Book Antiqua"/>
          <w:sz w:val="20"/>
          <w:szCs w:val="20"/>
        </w:rPr>
        <w:fldChar w:fldCharType="begin" w:fldLock="1"/>
      </w:r>
      <w:r w:rsidR="005B2CB3">
        <w:rPr>
          <w:rFonts w:ascii="Book Antiqua" w:eastAsia="Book Antiqua" w:hAnsi="Book Antiqua" w:cs="Book Antiqua"/>
          <w:sz w:val="20"/>
          <w:szCs w:val="20"/>
        </w:rPr>
        <w:instrText>ADDIN CSL_CITATION {"citationItems":[{"id":"ITEM-1","itemData":{"DOI":"10.32897/sobat.2024.6.1.4187","ISSN":"2963-4008","abstract":"Indonesia,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Teknik","id":"ITEM-1","issued":{"date-parts":[["2025"]]},"page":"230-242","title":"Peluang Indonesia Dalam Pasar Karbon Global: Strategi Menjadi Pemain Kunci Di Asia Tenggara","type":"article-journal","volume":"6"},"uris":["http://www.mendeley.com/documents/?uuid=100cc2de-c0f1-4c44-bd2e-5597bd35b82f"]}],"mendeley":{"formattedCitation":"(Wibowo, 2025)","plainTextFormattedCitation":"(Wibowo, 2025)"},"properties":{"noteIndex":0},"schema":"https://github.com/citation-style-language/schema/raw/master/csl-citation.json"}</w:instrText>
      </w:r>
      <w:r w:rsidR="005B2CB3">
        <w:rPr>
          <w:rFonts w:ascii="Book Antiqua" w:eastAsia="Book Antiqua" w:hAnsi="Book Antiqua" w:cs="Book Antiqua"/>
          <w:sz w:val="20"/>
          <w:szCs w:val="20"/>
        </w:rPr>
        <w:fldChar w:fldCharType="separate"/>
      </w:r>
      <w:r w:rsidR="005B2CB3" w:rsidRPr="005B2CB3">
        <w:rPr>
          <w:rFonts w:ascii="Book Antiqua" w:eastAsia="Book Antiqua" w:hAnsi="Book Antiqua" w:cs="Book Antiqua"/>
          <w:noProof/>
          <w:sz w:val="20"/>
          <w:szCs w:val="20"/>
        </w:rPr>
        <w:t>(Wibowo, 2025)</w:t>
      </w:r>
      <w:r w:rsidR="005B2CB3">
        <w:rPr>
          <w:rFonts w:ascii="Book Antiqua" w:eastAsia="Book Antiqua" w:hAnsi="Book Antiqua" w:cs="Book Antiqua"/>
          <w:sz w:val="20"/>
          <w:szCs w:val="20"/>
        </w:rPr>
        <w:fldChar w:fldCharType="end"/>
      </w:r>
      <w:r w:rsidR="00CD1C3F" w:rsidRPr="00DA3593">
        <w:rPr>
          <w:rFonts w:ascii="Book Antiqua" w:eastAsia="Book Antiqua" w:hAnsi="Book Antiqua" w:cs="Book Antiqua"/>
          <w:sz w:val="20"/>
          <w:szCs w:val="20"/>
        </w:rPr>
        <w:t>.</w:t>
      </w:r>
    </w:p>
    <w:p w14:paraId="3D21C510" w14:textId="77777777" w:rsidR="00822427" w:rsidRDefault="00822427" w:rsidP="00CD1C3F">
      <w:pPr>
        <w:spacing w:line="240" w:lineRule="auto"/>
        <w:jc w:val="both"/>
        <w:rPr>
          <w:rFonts w:ascii="Book Antiqua" w:eastAsia="Book Antiqua" w:hAnsi="Book Antiqua" w:cs="Book Antiqua"/>
          <w:sz w:val="20"/>
          <w:szCs w:val="20"/>
        </w:rPr>
      </w:pPr>
      <w:r w:rsidRPr="00822427">
        <w:rPr>
          <w:rFonts w:ascii="Book Antiqua" w:eastAsia="Book Antiqua" w:hAnsi="Book Antiqua" w:cs="Book Antiqua"/>
          <w:sz w:val="20"/>
          <w:szCs w:val="20"/>
        </w:rPr>
        <w:t>Overall, the cooperation between Indonesia and the UK has achieved tangible progress in strengthening the carbon market, particularly through the development of the MRV system and the funding provided by the UK PACT program. However, to achieve a broader national impact, challenges such as policy coordination and technological dependence must be addressed promptly. Lessons from Malaysia and Morocco show that the sustainability of the carbon market heavily relies on the integration of local actors and innovative financing involving multiple stakeholders.</w:t>
      </w:r>
    </w:p>
    <w:p w14:paraId="4488BF7E" w14:textId="77777777" w:rsidR="00A624AD" w:rsidRDefault="00A624AD" w:rsidP="00CD1C3F">
      <w:pPr>
        <w:spacing w:line="240" w:lineRule="auto"/>
        <w:jc w:val="both"/>
        <w:rPr>
          <w:rFonts w:ascii="Book Antiqua" w:eastAsia="Book Antiqua" w:hAnsi="Book Antiqua" w:cs="Book Antiqua"/>
          <w:b/>
          <w:bCs/>
          <w:sz w:val="20"/>
          <w:szCs w:val="20"/>
        </w:rPr>
      </w:pPr>
      <w:r w:rsidRPr="00A624AD">
        <w:rPr>
          <w:rFonts w:ascii="Book Antiqua" w:eastAsia="Book Antiqua" w:hAnsi="Book Antiqua" w:cs="Book Antiqua"/>
          <w:b/>
          <w:bCs/>
          <w:sz w:val="20"/>
          <w:szCs w:val="20"/>
        </w:rPr>
        <w:t>Renewable Energy Transition</w:t>
      </w:r>
    </w:p>
    <w:p w14:paraId="1D7AF4C1" w14:textId="57CC3BA7" w:rsidR="00CD1C3F" w:rsidRDefault="00A624AD" w:rsidP="00CD1C3F">
      <w:pPr>
        <w:spacing w:line="240" w:lineRule="auto"/>
        <w:jc w:val="both"/>
        <w:rPr>
          <w:rFonts w:ascii="Book Antiqua" w:eastAsia="Book Antiqua" w:hAnsi="Book Antiqua" w:cs="Book Antiqua"/>
          <w:sz w:val="20"/>
          <w:szCs w:val="20"/>
        </w:rPr>
      </w:pPr>
      <w:r w:rsidRPr="00A624AD">
        <w:rPr>
          <w:rFonts w:ascii="Book Antiqua" w:eastAsia="Book Antiqua" w:hAnsi="Book Antiqua" w:cs="Book Antiqua"/>
          <w:sz w:val="20"/>
          <w:szCs w:val="20"/>
        </w:rPr>
        <w:t xml:space="preserve">The cooperation between Indonesia and the UK in supporting a renewable energy transition is crucial for achieving emission reduction targets and developing clean energy. Through the lens of institutional liberalism as proposed by Keohane (2012), international institutions serve as connectors that facilitate collaboration between countries in managing resources and technology effectively. The concept of complex interdependence also emphasizes that Indonesia and the UK are mutually dependent, with the UK </w:t>
      </w:r>
      <w:r w:rsidRPr="00A624AD">
        <w:rPr>
          <w:rFonts w:ascii="Book Antiqua" w:eastAsia="Book Antiqua" w:hAnsi="Book Antiqua" w:cs="Book Antiqua"/>
          <w:sz w:val="20"/>
          <w:szCs w:val="20"/>
        </w:rPr>
        <w:lastRenderedPageBreak/>
        <w:t>providing funding and technology, while Indonesia has significant potential for renewable energy development</w:t>
      </w:r>
      <w:r w:rsidR="00CD1C3F" w:rsidRPr="0044722E">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{"citationItems":[{"id":"ITEM-1","itemData":{"DOI":"10.1016/s0164-0704(96)80090-5","ISBN":"9780205082919","ISSN":"01640704","abstract":"4th ed. In revising classic works in political science, Longman celebrates the contributions its authors and their research have made to the discipline. The Longman Classics in Political Science series honors these authors and their work. Providing students with an updated context, each title in the series includes a new foreword, written by one of today's top scholars, offering afresh, in-depth analysis of the book and its enduring contributions. Foreword / Fareed Zakaria -- Preface to First Edition -- Preface to Second Edition -- Preface to Third Edition -- Preface to Fourth Edition -- Part I. Understanding Interdependence -- Chapter 1. Interdependence in World Politics -- The New Rhetoric of Interdependence -- Interdependence as an Analytic Concept -- Power and Interdependence -- International Regime Change -- Chapter 2. Realism and Complex Interdependence -- The Characteristics of Complex Interdependence -- Multiple Channels -- Absence of Hierarchy among Issues -- Minor Role of Military Force -- The Political Processes of Complex Interdependence -- Linkage Strategies -- Agenda Setting -- Transnational and Transgovernmental Relations -- Role of International Organizations -- Chapter 3. Explaining International Regime Change -- An Economic Process Explanation -- Overall Power Structure Explanation -- Eroding Hegemony -- Limitations of an Overall Structure Explanation -- Issue Structure -- Limitations of Structural Explanations -- An International Organization Model -- Combining Explanations -- Part II. Regime Change in Oceans and Money -- Chapter 4. The Politics of Oceans and Money: Historical Overview -- The International Monetary Issue Area -- The International Gold Standard Before 1914 -- International Monetary Regimes, 1920-76 -- The Oceans Issue Area -- Defining the Issue Area -- The Classical Free Seas Regime -- Regime Periods, 1920-75 -- The Changing Agenda of Oceans Politics -- Conclusion -- Chapter 5. Complex Interdependence in Oceans and Money -- The Conditions of Complex Interdependence -- Role of Force -- Absence of Hierarchy among Issues -- Multiple Channels of Contact -- Money, Oceans, and Complex Interdependence -- The Political Process in Money and Oceans -- Goals of Actors -- Instruments of State Policy -- Agenda Formation -- Linkage of Issues -- Roles of International Organizations -- Conclusion -- Chapter 6. The Politics of Rule-Making in Oceans and Money -- Economic Processes and Regime Change -- Overall Structure and Regime Change…","author":[{"dropping-particle":"","family":"Keohane","given":"Robert O","non-dropping-particle":"","parse-names":false,"suffix":""},{"dropping-particle":"","family":"Nye","given":"Joseph S","non-dropping-particle":"","parse-names":false,"suffix":""}],"container-title":"Journal of Macroeconomics","id":"ITEM-1","issue":"2","issued":{"date-parts":[["1996"]]},"number-of-pages":"377","title":"Understanding interdependence","type":"book","volume":"18"},"uris":["http://www.mendeley.com/documents/?uuid=3734d8f9-f559-409d-bd52-de79f95e86ad"]}],"mendeley":{"formattedCitation":"(Keohane &amp; Nye, 1996)","plainTextFormattedCitation":"(Keohane &amp; Nye, 1996)","previouslyFormattedCitation":"(Keohane &amp; Nye, 1996)"},"properties":{"noteIndex":0},"schema":"https://github.com/citation-style-language/schema/raw/master/csl-citation.json"}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44722E">
        <w:rPr>
          <w:rFonts w:ascii="Book Antiqua" w:eastAsia="Book Antiqua" w:hAnsi="Book Antiqua" w:cs="Book Antiqua"/>
          <w:noProof/>
          <w:sz w:val="20"/>
          <w:szCs w:val="20"/>
        </w:rPr>
        <w:t>(Keohane &amp; Nye, 1996)</w:t>
      </w:r>
      <w:r w:rsidR="00CD1C3F">
        <w:rPr>
          <w:rFonts w:ascii="Book Antiqua" w:eastAsia="Book Antiqua" w:hAnsi="Book Antiqua" w:cs="Book Antiqua"/>
          <w:sz w:val="20"/>
          <w:szCs w:val="20"/>
        </w:rPr>
        <w:fldChar w:fldCharType="end"/>
      </w:r>
      <w:r w:rsidR="00CD1C3F" w:rsidRPr="0044722E">
        <w:rPr>
          <w:rFonts w:ascii="Book Antiqua" w:eastAsia="Book Antiqua" w:hAnsi="Book Antiqua" w:cs="Book Antiqua"/>
          <w:sz w:val="20"/>
          <w:szCs w:val="20"/>
        </w:rPr>
        <w:t>.</w:t>
      </w:r>
    </w:p>
    <w:p w14:paraId="110C6157" w14:textId="33928809" w:rsidR="00CD1C3F" w:rsidRDefault="00A624AD" w:rsidP="00CD1C3F">
      <w:pPr>
        <w:spacing w:line="240" w:lineRule="auto"/>
        <w:jc w:val="both"/>
        <w:rPr>
          <w:rFonts w:ascii="Book Antiqua" w:eastAsia="Book Antiqua" w:hAnsi="Book Antiqua" w:cs="Book Antiqua"/>
          <w:sz w:val="20"/>
          <w:szCs w:val="20"/>
        </w:rPr>
      </w:pPr>
      <w:r w:rsidRPr="00A624AD">
        <w:rPr>
          <w:rFonts w:ascii="Book Antiqua" w:eastAsia="Book Antiqua" w:hAnsi="Book Antiqua" w:cs="Book Antiqua"/>
          <w:sz w:val="20"/>
          <w:szCs w:val="20"/>
        </w:rPr>
        <w:t>The transition from fossil fuels to renewable energy is a critical step for Indonesia to meet its Paris Agreement commitments and its net-zero emissions target by 2060. Cooperation with the UK in renewable energy transition focuses not only on emission reductions but also on ensuring that the process is fair and inclusive for all communities (Ministry of Environment</w:t>
      </w:r>
      <w:r w:rsidR="0003368F">
        <w:rPr>
          <w:rFonts w:ascii="Book Antiqua" w:eastAsia="Book Antiqua" w:hAnsi="Book Antiqua" w:cs="Book Antiqua"/>
          <w:sz w:val="20"/>
          <w:szCs w:val="20"/>
        </w:rPr>
        <w:t xml:space="preserve"> </w:t>
      </w:r>
      <w:r w:rsidR="0003368F" w:rsidRPr="0003368F">
        <w:rPr>
          <w:rFonts w:ascii="Book Antiqua" w:eastAsia="Book Antiqua" w:hAnsi="Book Antiqua" w:cs="Book Antiqua"/>
          <w:sz w:val="20"/>
          <w:szCs w:val="20"/>
        </w:rPr>
        <w:t>of the Republic of Indonesia</w:t>
      </w:r>
      <w:r w:rsidRPr="00A624AD">
        <w:rPr>
          <w:rFonts w:ascii="Book Antiqua" w:eastAsia="Book Antiqua" w:hAnsi="Book Antiqua" w:cs="Book Antiqua"/>
          <w:sz w:val="20"/>
          <w:szCs w:val="20"/>
        </w:rPr>
        <w:t>, 2025)</w:t>
      </w:r>
      <w:r w:rsidR="00CD1C3F" w:rsidRPr="00956C35">
        <w:rPr>
          <w:rFonts w:ascii="Book Antiqua" w:eastAsia="Book Antiqua" w:hAnsi="Book Antiqua" w:cs="Book Antiqua"/>
          <w:sz w:val="20"/>
          <w:szCs w:val="20"/>
        </w:rPr>
        <w:t>.</w:t>
      </w:r>
      <w:r w:rsidR="00CD1C3F">
        <w:rPr>
          <w:rFonts w:ascii="Book Antiqua" w:eastAsia="Book Antiqua" w:hAnsi="Book Antiqua" w:cs="Book Antiqua"/>
          <w:sz w:val="20"/>
          <w:szCs w:val="20"/>
        </w:rPr>
        <w:t xml:space="preserve"> </w:t>
      </w:r>
      <w:r w:rsidR="0003368F" w:rsidRPr="0003368F">
        <w:rPr>
          <w:rFonts w:ascii="Book Antiqua" w:eastAsia="Book Antiqua" w:hAnsi="Book Antiqua" w:cs="Book Antiqua"/>
          <w:sz w:val="20"/>
          <w:szCs w:val="20"/>
        </w:rPr>
        <w:t xml:space="preserve">In practice, the UK PACT (Partnering for Accelerated Climate Transitions) program serves as the backbone of Indonesia’s energy transition by providing substantial funding for renewable energy projects such as solar and hydro power plants, as well as technical training for smart grid system development </w:t>
      </w:r>
      <w:r w:rsidR="00CD1C3F" w:rsidRPr="0044722E">
        <w:rPr>
          <w:rFonts w:ascii="Book Antiqua" w:eastAsia="Book Antiqua" w:hAnsi="Book Antiqua" w:cs="Book Antiqua"/>
          <w:sz w:val="20"/>
          <w:szCs w:val="20"/>
        </w:rPr>
        <w:t xml:space="preserve">(UK PACT, 2024; </w:t>
      </w:r>
      <w:r w:rsidR="0003368F" w:rsidRPr="0003368F">
        <w:rPr>
          <w:rFonts w:ascii="Book Antiqua" w:eastAsia="Book Antiqua" w:hAnsi="Book Antiqua" w:cs="Book Antiqua"/>
          <w:sz w:val="20"/>
          <w:szCs w:val="20"/>
        </w:rPr>
        <w:t>Ministry of Environment and Forestry of the Republic of Indonesia</w:t>
      </w:r>
      <w:r w:rsidR="00CD1C3F" w:rsidRPr="0044722E">
        <w:rPr>
          <w:rFonts w:ascii="Book Antiqua" w:eastAsia="Book Antiqua" w:hAnsi="Book Antiqua" w:cs="Book Antiqua"/>
          <w:sz w:val="20"/>
          <w:szCs w:val="20"/>
        </w:rPr>
        <w:t>, 2025).</w:t>
      </w:r>
    </w:p>
    <w:p w14:paraId="22FEF630" w14:textId="3A5A261A" w:rsidR="00CD1C3F" w:rsidRPr="0044722E" w:rsidRDefault="0003368F" w:rsidP="00CD1C3F">
      <w:pPr>
        <w:spacing w:line="240" w:lineRule="auto"/>
        <w:jc w:val="both"/>
        <w:rPr>
          <w:rFonts w:ascii="Book Antiqua" w:eastAsia="Book Antiqua" w:hAnsi="Book Antiqua" w:cs="Book Antiqua"/>
          <w:sz w:val="20"/>
          <w:szCs w:val="20"/>
        </w:rPr>
      </w:pPr>
      <w:r w:rsidRPr="0003368F">
        <w:rPr>
          <w:rFonts w:ascii="Book Antiqua" w:eastAsia="Book Antiqua" w:hAnsi="Book Antiqua" w:cs="Book Antiqua"/>
          <w:sz w:val="20"/>
          <w:szCs w:val="20"/>
        </w:rPr>
        <w:t>As a pioneer in renewable energy, the UK provides various forms of support to Indonesia, including funding through the UK PACT program, which backs clean energy projects such as solar and wind power plants and energy efficiency initiatives in the industrial sector</w:t>
      </w:r>
      <w:r w:rsidR="00CD1C3F" w:rsidRPr="00B96C59">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 melakukan evaluasi terhadap kebijakan Energi rendah karbon … energi rendah karbon tenaga air dengan kapasitas total 7MW. Proyek ini bertujuan untuk mempercepat transisi energi …","author":[{"dropping-particle":"","family":"Florentina","given":"A","non-dropping-particle":"","parse-names":false,"suffix":""},{"dropping-particle":"","family":"Ginanjar","given":"Y","non-dropping-particle":"","parse-names":false,"suffix":""},{"dropping-particle":"","family":"...","given":"","non-dropping-particle":"","parse-names":false,"suffix":""}],"container-title":"Global Insights Journal …","id":"ITEM-1","issue":"01","issued":{"date-parts":[["2024"]]},"title":"Kerjasama Indonesia-Inggris Dalam Pengembangan Energi Rendah Karbon 2019-2023","type":"article-journal","volume":"01"},"uris":["http://www.mendeley.com/documents/?uuid=176ef604-62c9-49ef-aa4a-4c4aec778f49"]}],"mendeley":{"formattedCitation":"(Florentina et al., 2024)","plainTextFormattedCitation":"(Florentina et al., 2024)","previouslyFormattedCitation":"(Florentina et al., 2024)"},"properties":{"noteIndex":0},"schema":"https://github.com/citation-style-language/schema/raw/master/csl-citation.json"}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B96C59">
        <w:rPr>
          <w:rFonts w:ascii="Book Antiqua" w:eastAsia="Book Antiqua" w:hAnsi="Book Antiqua" w:cs="Book Antiqua"/>
          <w:noProof/>
          <w:sz w:val="20"/>
          <w:szCs w:val="20"/>
        </w:rPr>
        <w:t>(Florentina et al., 2024)</w:t>
      </w:r>
      <w:r w:rsidR="00CD1C3F">
        <w:rPr>
          <w:rFonts w:ascii="Book Antiqua" w:eastAsia="Book Antiqua" w:hAnsi="Book Antiqua" w:cs="Book Antiqua"/>
          <w:sz w:val="20"/>
          <w:szCs w:val="20"/>
        </w:rPr>
        <w:fldChar w:fldCharType="end"/>
      </w:r>
      <w:r w:rsidR="00CD1C3F" w:rsidRPr="00B96C59">
        <w:rPr>
          <w:rFonts w:ascii="Book Antiqua" w:eastAsia="Book Antiqua" w:hAnsi="Book Antiqua" w:cs="Book Antiqua"/>
          <w:sz w:val="20"/>
          <w:szCs w:val="20"/>
        </w:rPr>
        <w:t xml:space="preserve">. </w:t>
      </w:r>
      <w:r w:rsidRPr="0003368F">
        <w:rPr>
          <w:rFonts w:ascii="Book Antiqua" w:eastAsia="Book Antiqua" w:hAnsi="Book Antiqua" w:cs="Book Antiqua"/>
          <w:sz w:val="20"/>
          <w:szCs w:val="20"/>
        </w:rPr>
        <w:t xml:space="preserve">Furthermore, the UK shares technology and expertise in integrating renewable energy into the national grid, including energy storage solutions and smart grid systems. This collaboration also helps Indonesia strengthen its energy transition policies, for example by accelerating the phase-out of coal-fired power plants and developing renewable energy in line with </w:t>
      </w:r>
      <w:r>
        <w:rPr>
          <w:rFonts w:ascii="Book Antiqua" w:eastAsia="Book Antiqua" w:hAnsi="Book Antiqua" w:cs="Book Antiqua"/>
          <w:sz w:val="20"/>
          <w:szCs w:val="20"/>
        </w:rPr>
        <w:t xml:space="preserve">Indonesia </w:t>
      </w:r>
      <w:r w:rsidRPr="0003368F">
        <w:rPr>
          <w:rFonts w:ascii="Book Antiqua" w:eastAsia="Book Antiqua" w:hAnsi="Book Antiqua" w:cs="Book Antiqua"/>
          <w:sz w:val="20"/>
          <w:szCs w:val="20"/>
        </w:rPr>
        <w:t>Presidential Regulation No. 112 of 2022</w:t>
      </w:r>
      <w:r w:rsidR="00CD1C3F" w:rsidRPr="00B96C59">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Peradaban","id":"ITEM-1","issue":"01","issued":{"date-parts":[["2024"]]},"page":"1-30","title":"Analisis Diskursus Pembangunan Berkelanjutan dalam Upaya Transisi Energi Indonesia Tahun 2015-2022","type":"article-journal","volume":"03"},"uris":["http://www.mendeley.com/documents/?uuid=0f7f1d0f-32f8-435f-94be-48c098e96843"]}],"mendeley":{"formattedCitation":"(Rohma, 2024)","plainTextFormattedCitation":"(Rohma, 2024)","previouslyFormattedCitation":"(Rohma, 2024)"},"properties":{"noteIndex":0},"schema":"https://github.com/citation-style-language/schema/raw/master/csl-citation.json"}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B96C59">
        <w:rPr>
          <w:rFonts w:ascii="Book Antiqua" w:eastAsia="Book Antiqua" w:hAnsi="Book Antiqua" w:cs="Book Antiqua"/>
          <w:noProof/>
          <w:sz w:val="20"/>
          <w:szCs w:val="20"/>
        </w:rPr>
        <w:t>(Rohma, 2024)</w:t>
      </w:r>
      <w:r w:rsidR="00CD1C3F">
        <w:rPr>
          <w:rFonts w:ascii="Book Antiqua" w:eastAsia="Book Antiqua" w:hAnsi="Book Antiqua" w:cs="Book Antiqua"/>
          <w:sz w:val="20"/>
          <w:szCs w:val="20"/>
        </w:rPr>
        <w:fldChar w:fldCharType="end"/>
      </w:r>
      <w:r w:rsidR="00CD1C3F" w:rsidRPr="00B96C59">
        <w:rPr>
          <w:rFonts w:ascii="Book Antiqua" w:eastAsia="Book Antiqua" w:hAnsi="Book Antiqua" w:cs="Book Antiqua"/>
          <w:sz w:val="20"/>
          <w:szCs w:val="20"/>
        </w:rPr>
        <w:t>.</w:t>
      </w:r>
    </w:p>
    <w:p w14:paraId="17A58857" w14:textId="77777777" w:rsidR="0003368F" w:rsidRDefault="0003368F" w:rsidP="00CD1C3F">
      <w:pPr>
        <w:spacing w:line="240" w:lineRule="auto"/>
        <w:jc w:val="both"/>
        <w:rPr>
          <w:rFonts w:ascii="Book Antiqua" w:eastAsia="Book Antiqua" w:hAnsi="Book Antiqua" w:cs="Book Antiqua"/>
          <w:sz w:val="20"/>
          <w:szCs w:val="20"/>
        </w:rPr>
      </w:pPr>
      <w:r w:rsidRPr="0003368F">
        <w:rPr>
          <w:rFonts w:ascii="Book Antiqua" w:eastAsia="Book Antiqua" w:hAnsi="Book Antiqua" w:cs="Book Antiqua"/>
          <w:sz w:val="20"/>
          <w:szCs w:val="20"/>
        </w:rPr>
        <w:t xml:space="preserve">However, Indonesia still faces high dependence on imported technology for renewable energy components, and program implementation at the regional level is not yet optimal, which slows down the overall transition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Peradaban","id":"ITEM-1","issue":"01","issued":{"date-parts":[["2024"]]},"page":"1-30","title":"Analisis Diskursus Pembangunan Berkelanjutan dalam Upaya Transisi Energi Indonesia Tahun 2015-2022","type":"article-journal","volume":"03"},"uris":["http://www.mendeley.com/documents/?uuid=0f7f1d0f-32f8-435f-94be-48c098e96843"]},{"id":"ITEM-2","itemData":{"DOI":"10.1016/j.ecmx.2025.100967","ISSN":"25901745","abstract":"The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X","id":"ITEM-2","issue":"December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potential","type":"article-journal","volume":"26"},"uris":["http://www.mendeley.com/documents/?uuid=d80bd767-7182-4e62-89d0-80208ab22d18"]}],"mendeley":{"formattedCitation":"(El Hafdaoui et al., 2025; Rohma, 2024)","plainTextFormattedCitation":"(El Hafdaoui et al., 2025; Rohma, 2024)","previouslyFormattedCitation":"(El Hafdaoui et al., 2025; Rohma, 2024)"},"properties":{"noteIndex":0},"schema":"https://github.com/citation-style-language/schema/raw/master/csl-citation.json"}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44722E">
        <w:rPr>
          <w:rFonts w:ascii="Book Antiqua" w:eastAsia="Book Antiqua" w:hAnsi="Book Antiqua" w:cs="Book Antiqua"/>
          <w:noProof/>
          <w:sz w:val="20"/>
          <w:szCs w:val="20"/>
        </w:rPr>
        <w:t>(El Hafdaoui et al., 2025; Rohma, 2024)</w:t>
      </w:r>
      <w:r w:rsidR="00CD1C3F">
        <w:rPr>
          <w:rFonts w:ascii="Book Antiqua" w:eastAsia="Book Antiqua" w:hAnsi="Book Antiqua" w:cs="Book Antiqua"/>
          <w:sz w:val="20"/>
          <w:szCs w:val="20"/>
        </w:rPr>
        <w:fldChar w:fldCharType="end"/>
      </w:r>
      <w:r w:rsidR="00CD1C3F" w:rsidRPr="0044722E">
        <w:rPr>
          <w:rFonts w:ascii="Book Antiqua" w:eastAsia="Book Antiqua" w:hAnsi="Book Antiqua" w:cs="Book Antiqua"/>
          <w:sz w:val="20"/>
          <w:szCs w:val="20"/>
        </w:rPr>
        <w:t xml:space="preserve">. </w:t>
      </w:r>
      <w:r w:rsidRPr="0003368F">
        <w:rPr>
          <w:rFonts w:ascii="Book Antiqua" w:eastAsia="Book Antiqua" w:hAnsi="Book Antiqua" w:cs="Book Antiqua"/>
          <w:sz w:val="20"/>
          <w:szCs w:val="20"/>
        </w:rPr>
        <w:t xml:space="preserve">There are also social challenges, such as the need for reskilling workers in the fossil fuel sector to ensure they are not left behind in the energy economy shift. </w:t>
      </w:r>
    </w:p>
    <w:p w14:paraId="2705E60D" w14:textId="642548C1" w:rsidR="00CD1C3F" w:rsidRPr="0044722E" w:rsidRDefault="0003368F" w:rsidP="00CD1C3F">
      <w:pPr>
        <w:spacing w:line="240" w:lineRule="auto"/>
        <w:jc w:val="both"/>
        <w:rPr>
          <w:rFonts w:ascii="Book Antiqua" w:eastAsia="Book Antiqua" w:hAnsi="Book Antiqua" w:cs="Book Antiqua"/>
          <w:sz w:val="20"/>
          <w:szCs w:val="20"/>
        </w:rPr>
      </w:pPr>
      <w:r w:rsidRPr="0003368F">
        <w:rPr>
          <w:rFonts w:ascii="Book Antiqua" w:eastAsia="Book Antiqua" w:hAnsi="Book Antiqua" w:cs="Book Antiqua"/>
          <w:sz w:val="20"/>
          <w:szCs w:val="20"/>
        </w:rPr>
        <w:t xml:space="preserve">To address these issues, efforts are needed to strengthen local capacity through technician training and the development of domestic renewable energy component industries, as well as aligning policies between the central and regional governments to make them more effective and inclusive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Teknik","id":"ITEM-1","issued":{"date-parts":[["2025"]]},"page":"230-242","title":"Peluang Indonesia Dalam Pasar Karbon Global: Strategi Menjadi Pemain Kunci Di Asia Tenggara","type":"article-journal","volume":"6"},"uris":["http://www.mendeley.com/documents/?uuid=100cc2de-c0f1-4c44-bd2e-5597bd35b82f"]}],"mendeley":{"formattedCitation":"(Wibowo, 2025)","plainTextFormattedCitation":"(Wibowo, 2025)","previouslyFormattedCitation":"(Wibowo,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44722E">
        <w:rPr>
          <w:rFonts w:ascii="Book Antiqua" w:eastAsia="Book Antiqua" w:hAnsi="Book Antiqua" w:cs="Book Antiqua"/>
          <w:noProof/>
          <w:sz w:val="20"/>
          <w:szCs w:val="20"/>
        </w:rPr>
        <w:t>(Wibowo, 2025)</w:t>
      </w:r>
      <w:r w:rsidR="00CD1C3F">
        <w:rPr>
          <w:rFonts w:ascii="Book Antiqua" w:eastAsia="Book Antiqua" w:hAnsi="Book Antiqua" w:cs="Book Antiqua"/>
          <w:sz w:val="20"/>
          <w:szCs w:val="20"/>
        </w:rPr>
        <w:fldChar w:fldCharType="end"/>
      </w:r>
      <w:r w:rsidR="00CD1C3F">
        <w:rPr>
          <w:rFonts w:ascii="Book Antiqua" w:eastAsia="Book Antiqua" w:hAnsi="Book Antiqua" w:cs="Book Antiqua"/>
          <w:sz w:val="20"/>
          <w:szCs w:val="20"/>
        </w:rPr>
        <w:t xml:space="preserve">. </w:t>
      </w:r>
      <w:r w:rsidRPr="0003368F">
        <w:rPr>
          <w:rFonts w:ascii="Book Antiqua" w:eastAsia="Book Antiqua" w:hAnsi="Book Antiqua" w:cs="Book Antiqua"/>
          <w:sz w:val="20"/>
          <w:szCs w:val="20"/>
        </w:rPr>
        <w:t>Lessons from the hybrid financing model in Morocco and renewable energy governance in Malaysia can also provide important guidance for improving Indonesia’s energy transition strategy</w:t>
      </w:r>
      <w:r w:rsidR="00CD1C3F" w:rsidRPr="0044722E">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X","id":"ITEM-1","issue":"December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potential","type":"article-journal","volume":"26"},"uris":["http://www.mendeley.com/documents/?uuid=d80bd767-7182-4e62-89d0-80208ab22d18"]},{"id":"ITEM-2","itemData":{"DOI":"10.1111/polp.12409","ISSN":"17471346","abstract":"Studies on renewable energy (RE) policies and policy making have generally focused on the Global North. This article homes in on how trust, an underexamined concept in the multi-level governance literature, affects RE trajectories in Malaysia and Indonesia. Through comparative analysis, we find that different levels of trust result in similar degrees of RE policy support, but dissimilar degrees of engagement between state and societal actors in RE policy making. Negative expectations of the social grievances engendered by RE transitions contribute to reluctant, though legitimized, pursuits of clean energy production and consumption. Meanwhile, trust in actors' nationalism—that is, in opposing a Global North environmental agenda and demonstrating constitutionally aligned resource management in Malaysia and Indonesia, respectively—facilitates more inclusive policy making. Due to greater nationalism, Indonesia's state-society engagement in RE governance is stronger and leads to a civil RE movement that outpaces Malaysia's overall. Related Articles: Ash, John. 2010. “New Nuclear Energy, Risk, and Justice: Regulatory Strategies for an era of Limited Trust.” Politics &amp; Policy 38 (2): 225-284. https://doi.org/10.1111/j.1747-1346.2010.00237.x. Khodr, Hiba, and Isabella Ruble. 2013. “Energy Policies and Domestic Politics in the MENA Region in the Aftermath of the Arab Upheavals: The Cases of Lebanon, Libya, and KSA.” Politics &amp; Policy 41 (5): 656-689. https://doi.org/10.1111/polp.12033. Wood, Steve. 2009. “Energy Security, Normative Dilemmas, and Institutional Camouflage: Europe's Pragmatism.” Politics &amp; Policy 37 (3): 611-635. https://doi.org/10.1111/j.1747-1346.2009.00187.x.","author":[{"dropping-particle":"","family":"Anuar","given":"Amalina","non-dropping-particle":"","parse-names":false,"suffix":""},{"dropping-particle":"","family":"Dewayanti","given":"Aninda","non-dropping-particle":"","parse-names":false,"suffix":""}],"container-title":"Politics and Policy","id":"ITEM-2","issue":"3","issued":{"date-parts":[["2021"]]},"page":"740-770","title":"Trust in the Process: Renewable Energy Governance in Malaysia and Indonesia","type":"article-journal","volume":"49"},"uris":["http://www.mendeley.com/documents/?uuid=fe089994-4776-4b80-a866-5aa3331491fa"]}],"mendeley":{"formattedCitation":"(Anuar &amp; Dewayanti, 2021; El Hafdaoui et al., 2025)","plainTextFormattedCitation":"(Anuar &amp; Dewayanti, 2021; El Hafdaoui et al., 2025)","previouslyFormattedCitation":"(Anuar &amp; Dewayanti, 2021; El Hafdaoui et al.,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44722E">
        <w:rPr>
          <w:rFonts w:ascii="Book Antiqua" w:eastAsia="Book Antiqua" w:hAnsi="Book Antiqua" w:cs="Book Antiqua"/>
          <w:noProof/>
          <w:sz w:val="20"/>
          <w:szCs w:val="20"/>
        </w:rPr>
        <w:t>(Anuar &amp; Dewayanti, 2021; El Hafdaoui et al., 2025)</w:t>
      </w:r>
      <w:r w:rsidR="00CD1C3F">
        <w:rPr>
          <w:rFonts w:ascii="Book Antiqua" w:eastAsia="Book Antiqua" w:hAnsi="Book Antiqua" w:cs="Book Antiqua"/>
          <w:sz w:val="20"/>
          <w:szCs w:val="20"/>
        </w:rPr>
        <w:fldChar w:fldCharType="end"/>
      </w:r>
      <w:r w:rsidR="00CD1C3F">
        <w:rPr>
          <w:rFonts w:ascii="Book Antiqua" w:eastAsia="Book Antiqua" w:hAnsi="Book Antiqua" w:cs="Book Antiqua"/>
          <w:sz w:val="20"/>
          <w:szCs w:val="20"/>
        </w:rPr>
        <w:t>.</w:t>
      </w:r>
    </w:p>
    <w:p w14:paraId="28573B78" w14:textId="3EAE96AE" w:rsidR="00CD1C3F" w:rsidRDefault="008E7F29" w:rsidP="00CD1C3F">
      <w:pPr>
        <w:spacing w:line="240" w:lineRule="auto"/>
        <w:jc w:val="both"/>
        <w:rPr>
          <w:rFonts w:ascii="Book Antiqua" w:eastAsia="Book Antiqua" w:hAnsi="Book Antiqua" w:cs="Book Antiqua"/>
          <w:sz w:val="20"/>
          <w:szCs w:val="20"/>
        </w:rPr>
      </w:pPr>
      <w:r w:rsidRPr="008E7F29">
        <w:rPr>
          <w:rFonts w:ascii="Book Antiqua" w:eastAsia="Book Antiqua" w:hAnsi="Book Antiqua" w:cs="Book Antiqua"/>
          <w:sz w:val="20"/>
          <w:szCs w:val="20"/>
        </w:rPr>
        <w:t>The Indonesia-UK cooperation in renewable energy transition has accelerated renewable energy adoption and strengthened national policies. Moving forward, this collaboration is expected to continue until the 2060 target, focusing on expanding projects to remote areas in Eastern Indonesia and increasing the proportion of local components used in each new renewable energy project. In this way, Indonesia’s renewable energy transition can progress faster, become more independent, and remain socially equitable, supporting environmentally friendly and inclusive development goals. This collaboration serves as an example of how developed and developing countries can jointly address global challenges in a fair and just manner.</w:t>
      </w:r>
    </w:p>
    <w:p w14:paraId="0B7AF6A4" w14:textId="77777777" w:rsidR="00D875C7" w:rsidRDefault="00D875C7" w:rsidP="00CD1C3F">
      <w:pPr>
        <w:spacing w:line="240" w:lineRule="auto"/>
        <w:jc w:val="both"/>
        <w:rPr>
          <w:rFonts w:ascii="Book Antiqua" w:eastAsia="Book Antiqua" w:hAnsi="Book Antiqua" w:cs="Book Antiqua"/>
          <w:b/>
          <w:bCs/>
          <w:sz w:val="20"/>
          <w:szCs w:val="20"/>
        </w:rPr>
      </w:pPr>
      <w:r w:rsidRPr="00D875C7">
        <w:rPr>
          <w:rFonts w:ascii="Book Antiqua" w:eastAsia="Book Antiqua" w:hAnsi="Book Antiqua" w:cs="Book Antiqua"/>
          <w:b/>
          <w:bCs/>
          <w:sz w:val="20"/>
          <w:szCs w:val="20"/>
        </w:rPr>
        <w:t>Implementation and Challenges</w:t>
      </w:r>
    </w:p>
    <w:p w14:paraId="3DC3DDDF" w14:textId="08EDFA1E" w:rsidR="00D875C7" w:rsidRDefault="00D875C7" w:rsidP="00CD1C3F">
      <w:pPr>
        <w:spacing w:line="240" w:lineRule="auto"/>
        <w:jc w:val="both"/>
        <w:rPr>
          <w:rFonts w:ascii="Book Antiqua" w:eastAsia="Book Antiqua" w:hAnsi="Book Antiqua" w:cs="Book Antiqua"/>
          <w:sz w:val="20"/>
          <w:szCs w:val="20"/>
        </w:rPr>
      </w:pPr>
      <w:r w:rsidRPr="00D875C7">
        <w:rPr>
          <w:rFonts w:ascii="Book Antiqua" w:eastAsia="Book Antiqua" w:hAnsi="Book Antiqua" w:cs="Book Antiqua"/>
          <w:sz w:val="20"/>
          <w:szCs w:val="20"/>
        </w:rPr>
        <w:t>The cooperation between Indonesia and the UK in the energy transition has shown significant progress, especially in implementing programs that support the development of renewable energy and strengthening the capacity of local human resources. One of the main programs is UK PACT (Partnering for Accelerated Climate Transitions), which allocates £2.8 million over the next three years starting in 2025. This funding is used to support renewable energy projects in five priority provinces, develop a more accurate MRV (Measurement, Reporting, Verification) system, and train local experts to manage clean energy technologies and projects more effectively</w:t>
      </w:r>
      <w:r w:rsidR="00CD1C3F">
        <w:rPr>
          <w:rFonts w:ascii="Book Antiqua" w:eastAsia="Book Antiqua" w:hAnsi="Book Antiqua" w:cs="Book Antiqua"/>
          <w:sz w:val="20"/>
          <w:szCs w:val="20"/>
        </w:rPr>
        <w:t xml:space="preserve"> </w:t>
      </w:r>
      <w:r>
        <w:rPr>
          <w:rFonts w:ascii="Book Antiqua" w:eastAsia="Book Antiqua" w:hAnsi="Book Antiqua" w:cs="Book Antiqua"/>
          <w:sz w:val="20"/>
          <w:szCs w:val="20"/>
        </w:rPr>
        <w:t>(</w:t>
      </w:r>
      <w:r w:rsidRPr="00D875C7">
        <w:rPr>
          <w:rFonts w:ascii="Book Antiqua" w:eastAsia="Book Antiqua" w:hAnsi="Book Antiqua" w:cs="Book Antiqua"/>
          <w:sz w:val="20"/>
          <w:szCs w:val="20"/>
        </w:rPr>
        <w:t>Ministry of Environment of the Republic of Indonesia</w:t>
      </w:r>
      <w:r w:rsidR="00CD1C3F">
        <w:rPr>
          <w:rFonts w:ascii="Book Antiqua" w:eastAsia="Book Antiqua" w:hAnsi="Book Antiqua" w:cs="Book Antiqua"/>
          <w:sz w:val="20"/>
          <w:szCs w:val="20"/>
        </w:rPr>
        <w:t>, 2025)</w:t>
      </w:r>
      <w:r w:rsidR="00CD1C3F" w:rsidRPr="00E04BA6">
        <w:rPr>
          <w:rFonts w:ascii="Book Antiqua" w:eastAsia="Book Antiqua" w:hAnsi="Book Antiqua" w:cs="Book Antiqua"/>
          <w:sz w:val="20"/>
          <w:szCs w:val="20"/>
        </w:rPr>
        <w:t xml:space="preserve">. </w:t>
      </w:r>
      <w:r w:rsidRPr="00D875C7">
        <w:rPr>
          <w:rFonts w:ascii="Book Antiqua" w:eastAsia="Book Antiqua" w:hAnsi="Book Antiqua" w:cs="Book Antiqua"/>
          <w:sz w:val="20"/>
          <w:szCs w:val="20"/>
        </w:rPr>
        <w:t xml:space="preserve">In addition, policy support has been provided through the issuance of </w:t>
      </w:r>
      <w:r>
        <w:rPr>
          <w:rFonts w:ascii="Book Antiqua" w:eastAsia="Book Antiqua" w:hAnsi="Book Antiqua" w:cs="Book Antiqua"/>
          <w:sz w:val="20"/>
          <w:szCs w:val="20"/>
        </w:rPr>
        <w:t xml:space="preserve">Indonesia </w:t>
      </w:r>
      <w:r w:rsidRPr="00D875C7">
        <w:rPr>
          <w:rFonts w:ascii="Book Antiqua" w:eastAsia="Book Antiqua" w:hAnsi="Book Antiqua" w:cs="Book Antiqua"/>
          <w:sz w:val="20"/>
          <w:szCs w:val="20"/>
        </w:rPr>
        <w:t xml:space="preserve">Presidential Regulation No. 112 of 2022 on the acceleration of renewable energy and the establishment of a national carbon registry, which serves as an essential legal foundation for managing the carbon market and energy transition. </w:t>
      </w:r>
    </w:p>
    <w:p w14:paraId="6A9C7C43" w14:textId="23E11D56" w:rsidR="00CD1C3F" w:rsidRPr="00E04BA6" w:rsidRDefault="002977C0" w:rsidP="00CD1C3F">
      <w:pPr>
        <w:spacing w:line="240" w:lineRule="auto"/>
        <w:jc w:val="both"/>
        <w:rPr>
          <w:rFonts w:ascii="Book Antiqua" w:eastAsia="Book Antiqua" w:hAnsi="Book Antiqua" w:cs="Book Antiqua"/>
          <w:sz w:val="20"/>
          <w:szCs w:val="20"/>
        </w:rPr>
      </w:pPr>
      <w:r w:rsidRPr="002977C0">
        <w:rPr>
          <w:rFonts w:ascii="Book Antiqua" w:eastAsia="Book Antiqua" w:hAnsi="Book Antiqua" w:cs="Book Antiqua"/>
          <w:sz w:val="20"/>
          <w:szCs w:val="20"/>
        </w:rPr>
        <w:lastRenderedPageBreak/>
        <w:t>However, not everything runs smoothly. Key challenges include overlapping policy coordination between central and regional governments. Differences in sectoral priorities often hinder program effectiveness. Indonesia’s dependence on imported technology remains high, with around 60–70% of components for solar power plants still coming from abroad</w:t>
      </w:r>
      <w:r w:rsidR="00CD1C3F">
        <w:rPr>
          <w:rFonts w:ascii="Book Antiqua" w:eastAsia="Book Antiqua" w:hAnsi="Book Antiqua" w:cs="Book Antiqua"/>
          <w:sz w:val="20"/>
          <w:szCs w:val="20"/>
        </w:rPr>
        <w:t xml:space="preserve"> </w:t>
      </w:r>
      <w:r w:rsidR="00CD1C3F" w:rsidRPr="00794D78">
        <w:rPr>
          <w:rFonts w:ascii="Book Antiqua" w:eastAsia="Book Antiqua" w:hAnsi="Book Antiqua" w:cs="Book Antiqua"/>
          <w:sz w:val="20"/>
          <w:szCs w:val="20"/>
        </w:rPr>
        <w:t>(Pratama, 2021)</w:t>
      </w:r>
      <w:r w:rsidR="00CD1C3F" w:rsidRPr="00E04BA6">
        <w:rPr>
          <w:rFonts w:ascii="Book Antiqua" w:eastAsia="Book Antiqua" w:hAnsi="Book Antiqua" w:cs="Book Antiqua"/>
          <w:sz w:val="20"/>
          <w:szCs w:val="20"/>
        </w:rPr>
        <w:t xml:space="preserve">. </w:t>
      </w:r>
      <w:r w:rsidRPr="002977C0">
        <w:rPr>
          <w:rFonts w:ascii="Book Antiqua" w:eastAsia="Book Antiqua" w:hAnsi="Book Antiqua" w:cs="Book Antiqua"/>
          <w:sz w:val="20"/>
          <w:szCs w:val="20"/>
        </w:rPr>
        <w:t>Technical skill gaps are also a constraint, given the need for experts who can independently operate and maintain renewable energy technologies. From a socio-economic perspective, impacts on fossil fuel workers and unequal energy access in remote areas remain serious concerns</w:t>
      </w:r>
      <w:r w:rsidR="00CD1C3F" w:rsidRPr="00E04BA6">
        <w:rPr>
          <w:rFonts w:ascii="Book Antiqua" w:eastAsia="Book Antiqua" w:hAnsi="Book Antiqua" w:cs="Book Antiqua"/>
          <w:sz w:val="20"/>
          <w:szCs w:val="20"/>
        </w:rPr>
        <w:t xml:space="preserve"> </w:t>
      </w:r>
      <w:r w:rsidR="00CD1C3F">
        <w:rPr>
          <w:rFonts w:ascii="Book Antiqua" w:eastAsia="Book Antiqua" w:hAnsi="Book Antiqua" w:cs="Book Antiqua"/>
          <w:sz w:val="20"/>
          <w:szCs w:val="20"/>
        </w:rPr>
        <w:fldChar w:fldCharType="begin" w:fldLock="1"/>
      </w:r>
      <w:r w:rsidR="00CD1C3F">
        <w:rPr>
          <w:rFonts w:ascii="Book Antiqua" w:eastAsia="Book Antiqua" w:hAnsi="Book Antiqua" w:cs="Book Antiqua"/>
          <w:sz w:val="20"/>
          <w:szCs w:val="20"/>
        </w:rPr>
        <w:instrText>ADDIN CSL_CITATION {"citationItems":[{"id":"ITEM-1","itemData":{"abstract":"… hanya berbicara tentang aktor-aktor yang memiliki perhatian … dapat bersepakat bahwa model industrialisasi kapitalis cocok … sistem tata kelola pengolahan sampah yang bisa digunakan …","author":[{"dropping-particle":"","family":"Rohma","given":"Masitoh Nur","non-dropping-particle":"","parse-names":false,"suffix":""}],"container-title":"Jurnal Hubungan Internasional Peradaban","id":"ITEM-1","issue":"01","issued":{"date-parts":[["2024"]]},"page":"1-30","title":"Analisis Diskursus Pembangunan Berkelanjutan dalam Upaya Transisi Energi Indonesia Tahun 2015-2022","type":"article-journal","volume":"03"},"uris":["http://www.mendeley.com/documents/?uuid=0f7f1d0f-32f8-435f-94be-48c098e96843"]},{"id":"ITEM-2","itemData":{"abstract":"… melakukan evaluasi terhadap kebijakan Energi rendah karbon … energi rendah karbon tenaga air dengan kapasitas total 7MW. Proyek ini bertujuan untuk mempercepat transisi energi …","author":[{"dropping-particle":"","family":"Florentina","given":"A","non-dropping-particle":"","parse-names":false,"suffix":""},{"dropping-particle":"","family":"Ginanjar","given":"Y","non-dropping-particle":"","parse-names":false,"suffix":""},{"dropping-particle":"","family":"...","given":"","non-dropping-particle":"","parse-names":false,"suffix":""}],"container-title":"Global Insights Journal …","id":"ITEM-2","issue":"01","issued":{"date-parts":[["2024"]]},"title":"Kerjasama Indonesia-Inggris Dalam Pengembangan Energi Rendah Karbon 2019-2023","type":"article-journal","volume":"01"},"uris":["http://www.mendeley.com/documents/?uuid=176ef604-62c9-49ef-aa4a-4c4aec778f49"]},{"id":"ITEM-3","itemData":{"DOI":"10.32897/sobat.2024.6.1.4187","ISSN":"2963-4008","abstract":"Indonesia, sebagai negara dengan sumber daya alam yang melimpah, berada dalam posisi yang strategis untuk menjadi kekuatan dominan dalam pasar karbon global, khususnya di Asia Tenggara. Penelitian ini menggali potensi besar yang dimiliki Indonesia dalam berkontribusi terhadap tujuan pengurangan karbon global, dengan fokus pada kekuatan strategis yang dapat dimanfaatkan dari hutan, lahan gambut, dan proyek energi terbarukan yang dimiliki. Studi ini mengidentifikasi sejumlah peluang, seperti komitmen Indonesia terhadap Perjanjian Paris dan pemanfaatan kredit karbon melalui skema seperti REDD+ serta pasar karbon domestik yang sedang berkembang. Namun, penelitian ini juga menguraikan hambatan-hambatan signifikan yang perlu diatasi, termasuk fragmentasi kebijakan nasional, keterbatasan teknologi, dan kesenjangan kapasitas dalam pengelolaan proyek karbon. Melalui analisis mendalam terhadap tantangan ini, makalah ini mengusulkan strategi komprehensif yang mencakup penyelarasan regulasi, pengembangan infrastruktur, kerjasama regional dalam ASEAN, serta inisiatif pembangunan kapasitas. Rekomendasi ini bertujuan untuk menciptakan ekonomi karbon yang berkelanjutan yang tidak hanya mendukung pertumbuhan ekonomi Indonesia tetapi juga berkontribusi secara signifikan dalam perjuangan melawan perubahan iklim. Dengan menerapkan strategi-strategi ini, Indonesia dapat memposisikan dirinya sebagai pemimpin pasar karbon regional sekaligus membangun ekonomi rendah karbon yang inklusif yang menguntungkan masyarakat lokal dan lingkungan.","author":[{"dropping-particle":"","family":"Wibowo","given":"Ari","non-dropping-particle":"","parse-names":false,"suffix":""}],"container-title":"Prosiding Seminar Sosial Politik, Bisnis, Akuntansi dan Teknik","id":"ITEM-3","issued":{"date-parts":[["2025"]]},"page":"230-242","title":"Peluang Indonesia Dalam Pasar Karbon Global: Strategi Menjadi Pemain Kunci Di Asia Tenggara","type":"article-journal","volume":"6"},"uris":["http://www.mendeley.com/documents/?uuid=100cc2de-c0f1-4c44-bd2e-5597bd35b82f"]}],"mendeley":{"formattedCitation":"(Florentina et al., 2024; Rohma, 2024; Wibowo, 2025)","plainTextFormattedCitation":"(Florentina et al., 2024; Rohma, 2024; Wibowo, 2025)","previouslyFormattedCitation":"(Florentina et al., 2024; Rohma, 2024; Wibowo, 2025)"},"properties":{"noteIndex":0},"schema":"https://github.com/citation-style-language/schema/raw/master/csl-citation.json"}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DC691B">
        <w:rPr>
          <w:rFonts w:ascii="Book Antiqua" w:eastAsia="Book Antiqua" w:hAnsi="Book Antiqua" w:cs="Book Antiqua"/>
          <w:noProof/>
          <w:sz w:val="20"/>
          <w:szCs w:val="20"/>
        </w:rPr>
        <w:t>(Florentina et al., 2024; Rohma, 2024; Wibowo, 2025)</w:t>
      </w:r>
      <w:r w:rsidR="00CD1C3F">
        <w:rPr>
          <w:rFonts w:ascii="Book Antiqua" w:eastAsia="Book Antiqua" w:hAnsi="Book Antiqua" w:cs="Book Antiqua"/>
          <w:sz w:val="20"/>
          <w:szCs w:val="20"/>
        </w:rPr>
        <w:fldChar w:fldCharType="end"/>
      </w:r>
      <w:r w:rsidR="00CD1C3F">
        <w:rPr>
          <w:rFonts w:ascii="Book Antiqua" w:eastAsia="Book Antiqua" w:hAnsi="Book Antiqua" w:cs="Book Antiqua"/>
          <w:sz w:val="20"/>
          <w:szCs w:val="20"/>
        </w:rPr>
        <w:t>.</w:t>
      </w:r>
    </w:p>
    <w:p w14:paraId="10580C21" w14:textId="3A90E4C5" w:rsidR="00CD1C3F" w:rsidRPr="00E04BA6" w:rsidRDefault="00476F55" w:rsidP="00CD1C3F">
      <w:pPr>
        <w:spacing w:line="240" w:lineRule="auto"/>
        <w:jc w:val="both"/>
        <w:rPr>
          <w:rFonts w:ascii="Book Antiqua" w:eastAsia="Book Antiqua" w:hAnsi="Book Antiqua" w:cs="Book Antiqua"/>
          <w:sz w:val="20"/>
          <w:szCs w:val="20"/>
        </w:rPr>
      </w:pPr>
      <w:r>
        <w:rPr>
          <w:rFonts w:ascii="Book Antiqua" w:eastAsia="Book Antiqua" w:hAnsi="Book Antiqua" w:cs="Book Antiqua"/>
          <w:sz w:val="20"/>
          <w:szCs w:val="20"/>
        </w:rPr>
        <w:t>Compared</w:t>
      </w:r>
      <w:r w:rsidR="002977C0" w:rsidRPr="002977C0">
        <w:rPr>
          <w:rFonts w:ascii="Book Antiqua" w:eastAsia="Book Antiqua" w:hAnsi="Book Antiqua" w:cs="Book Antiqua"/>
          <w:sz w:val="20"/>
          <w:szCs w:val="20"/>
        </w:rPr>
        <w:t xml:space="preserve"> </w:t>
      </w:r>
      <w:r>
        <w:rPr>
          <w:rFonts w:ascii="Book Antiqua" w:eastAsia="Book Antiqua" w:hAnsi="Book Antiqua" w:cs="Book Antiqua"/>
          <w:sz w:val="20"/>
          <w:szCs w:val="20"/>
        </w:rPr>
        <w:t>to</w:t>
      </w:r>
      <w:r w:rsidR="002977C0" w:rsidRPr="002977C0">
        <w:rPr>
          <w:rFonts w:ascii="Book Antiqua" w:eastAsia="Book Antiqua" w:hAnsi="Book Antiqua" w:cs="Book Antiqua"/>
          <w:sz w:val="20"/>
          <w:szCs w:val="20"/>
        </w:rPr>
        <w:t xml:space="preserve"> other countries, </w:t>
      </w:r>
      <w:r>
        <w:rPr>
          <w:rFonts w:ascii="Book Antiqua" w:eastAsia="Book Antiqua" w:hAnsi="Book Antiqua" w:cs="Book Antiqua"/>
          <w:sz w:val="20"/>
          <w:szCs w:val="20"/>
        </w:rPr>
        <w:t>such as</w:t>
      </w:r>
      <w:r w:rsidR="002977C0" w:rsidRPr="002977C0">
        <w:rPr>
          <w:rFonts w:ascii="Book Antiqua" w:eastAsia="Book Antiqua" w:hAnsi="Book Antiqua" w:cs="Book Antiqua"/>
          <w:sz w:val="20"/>
          <w:szCs w:val="20"/>
        </w:rPr>
        <w:t xml:space="preserve"> Malaysia highlight the importance of integrated governance, even though funding remains a challenge. In Morocco, strengthening local supply chains has been key to success, despite reliance on foreign direct investment. In China, the scale of implementation is massive but faces transparency challenges in large-scale project management. These lessons are relevant for Indonesia in formulating strategies to accelerate its energy transition </w:t>
      </w:r>
      <w:r w:rsidR="00CD1C3F">
        <w:rPr>
          <w:rFonts w:ascii="Book Antiqua" w:eastAsia="Book Antiqua" w:hAnsi="Book Antiqua" w:cs="Book Antiqua"/>
          <w:sz w:val="20"/>
          <w:szCs w:val="20"/>
        </w:rPr>
        <w:fldChar w:fldCharType="begin" w:fldLock="1"/>
      </w:r>
      <w:r w:rsidR="00C92394">
        <w:rPr>
          <w:rFonts w:ascii="Book Antiqua" w:eastAsia="Book Antiqua" w:hAnsi="Book Antiqua" w:cs="Book Antiqua"/>
          <w:sz w:val="20"/>
          <w:szCs w:val="20"/>
        </w:rPr>
        <w:instrText>ADDIN CSL_CITATION {"citationItems":[{"id":"ITEM-1","itemData":{"DOI":"10.1111/polp.12409","ISSN":"17471346","abstract":"Studies on renewable energy (RE) policies and policy making have generally focused on the Global North. This article homes in on how trust, an underexamined concept in the multi-level governance literature, affects RE trajectories in Malaysia and Indonesia. Through comparative analysis, we find that different levels of trust result in similar degrees of RE policy support, but dissimilar degrees of engagement between state and societal actors in RE policy making. Negative expectations of the social grievances engendered by RE transitions contribute to reluctant, though legitimized, pursuits of clean energy production and consumption. Meanwhile, trust in actors' nationalism—that is, in opposing a Global North environmental agenda and demonstrating constitutionally aligned resource management in Malaysia and Indonesia, respectively—facilitates more inclusive policy making. Due to greater nationalism, Indonesia's state-society engagement in RE governance is stronger and leads to a civil RE movement that outpaces Malaysia's overall. Related Articles: Ash, John. 2010. “New Nuclear Energy, Risk, and Justice: Regulatory Strategies for an era of Limited Trust.” Politics &amp; Policy 38 (2): 225-284. https://doi.org/10.1111/j.1747-1346.2010.00237.x. Khodr, Hiba, and Isabella Ruble. 2013. “Energy Policies and Domestic Politics in the MENA Region in the Aftermath of the Arab Upheavals: The Cases of Lebanon, Libya, and KSA.” Politics &amp; Policy 41 (5): 656-689. https://doi.org/10.1111/polp.12033. Wood, Steve. 2009. “Energy Security, Normative Dilemmas, and Institutional Camouflage: Europe's Pragmatism.” Politics &amp; Policy 37 (3): 611-635. https://doi.org/10.1111/j.1747-1346.2009.00187.x.","author":[{"dropping-particle":"","family":"Anuar","given":"Amalina","non-dropping-particle":"","parse-names":false,"suffix":""},{"dropping-particle":"","family":"Dewayanti","given":"Aninda","non-dropping-particle":"","parse-names":false,"suffix":""}],"container-title":"Politics and Policy","id":"ITEM-1","issue":"3","issued":{"date-parts":[["2021"]]},"page":"740-770","title":"Trust in the Process: Renewable Energy Governance in Malaysia and Indonesia","type":"article-journal","volume":"49"},"uris":["http://www.mendeley.com/documents/?uuid=fe089994-4776-4b80-a866-5aa3331491fa"]},{"id":"ITEM-2","itemData":{"DOI":"10.1016/j.ecmx.2025.100967","ISSN":"25901745","abstract":"The power sector in Morocco has undergone significant expansion over the past two decades, characterized by rising electricity consumption, persistent reliance on energy imports, and a generation mix dominated by fossil fuels. In 2022, Morocco produced nearly 43 TWh of electricity, but inefficiencies in storage and distribution limited end-use availability to 38 TWh. Fossil fuels accounted for 83 % of electricity generation, contributing 48 % of the country's energy-related greenhouse gas emissions. To align with global climate commitments, Morocco has set ambitious decarbonization goals, targeting a 52 % renewable energy share in the electricity mix by 2030 and 70 % by 2050. This review systematically evaluates the renewable energy sector in Morocco, employing the PRISMA methodology to analyze 1,328 references sourced from Scopus, Web of Science, and Google Scholar. The study provides actionable insights into three key areas: (1) the current situation of renewable energy deployment, (2) the policy framework governing renewable energy, and (3) the prospective potential for scaling up renewables in Morocco. The novelty of this research is further underscored by its integration of technical, economic, and policy perspectives into a cohesive framework. It is the first to present critical, non-publicly available data on Morocco's renewable energy projects gathered through on-site visits and stakeholder interviews. Additionally, this review consolidates and translates fragmented legislative documents—primarily available in Arabic—into a comprehensive English-language reference. Key findings reveal that Morocco's current renewable energy projects include solar (1.6 GW, 4.14 TWh annually), wind (1.28 GW, 4.29 TWh annually), and hydropower (1.1 GW, 1.7 TWh annually). Targeted efficiency improvements by 2050 include solar (28 %), wind (55 %), and hydropower (90–94 %), with cost reductions to $37/MWh, $41/MWh, $26/MWh, respectively. Integrated energy sectors contribute 41 Mt-CO2e, with renewables advancing solar irrigation (125 MW), industrial power (480 MW), and transport (91 MW). The regulatory framework, comprising Laws 57–09, 37–16, 13–09, and 48–15, has facilitated the development of renewables but requires reform to enhance institutional effectiveness and attract private investments of $1–$2 billion. Detailed recommendations include modernizing grid infrastructure, implementing advanced planning and management strategies, and fostering research and developm…","author":[{"dropping-particle":"","family":"Hafdaoui","given":"Hamza","non-dropping-particle":"El","parse-names":false,"suffix":""},{"dropping-particle":"","family":"Khallaayoun","given":"Ahmed","non-dropping-particle":"","parse-names":false,"suffix":""},{"dropping-particle":"","family":"Al-Majeed","given":"Salah","non-dropping-particle":"","parse-names":false,"suffix":""}],"container-title":"Energy Conversion and Management: X","id":"ITEM-2","issue":"December 2024","issued":{"date-parts":[["2025"]]},"page":"100967","publisher":"Elsevier Ltd","title":"Renewable energies in Morocco: A comprehensive review and analysis of current status, policy framework, and prospective potential","type":"article-journal","volume":"26"},"uris":["http://www.mendeley.com/documents/?uuid=d80bd767-7182-4e62-89d0-80208ab22d18"]},{"id":"ITEM-3","itemData":{"DOI":"10.1016/j.renene.2010.09.002","ISSN":"09601481","abstract":"The past decades have witnessed the rapid growth of foreign participation in the renewable energy development in China. This is a result of massive energy demand and the Government's strategy to shadow the role of traditional fossil fuel in the energy mix. This paper critically reviewed the international cooperation in the field of renewable energy with various partners in the new century. The cooperation pattern varies from partner to partner. The results showed that China has benefited from the international cooperation on renewable energy such as accessing to finance and advanced technologies, developing human resources related to renewable energy, and enhancing related policy framework. Major issues associated with the international cooperation are discussed as well. © 2010.","author":[{"dropping-particle":"","family":"Zhao","given":"Zhen Yu","non-dropping-particle":"","parse-names":false,"suffix":""},{"dropping-particle":"","family":"Zuo","given":"Jian","non-dropping-particle":"","parse-names":false,"suffix":""},{"dropping-particle":"","family":"Feng","given":"Tian Tian","non-dropping-particle":"","parse-names":false,"suffix":""},{"dropping-particle":"","family":"Zillante","given":"George","non-dropping-particle":"","parse-names":false,"suffix":""}],"container-title":"Renewable Energy","id":"ITEM-3","issue":"3","issued":{"date-parts":[["2011"]]},"page":"1105-1110","title":"International cooperation on renewable energy development in China - A critical analysis","type":"article-journal","volume":"36"},"uris":["http://www.mendeley.com/documents/?uuid=71142d05-d663-4e37-b8b1-2410edc48b95"]}],"mendeley":{"formattedCitation":"(Anuar &amp; Dewayanti, 2021; El Hafdaoui et al., 2025; Zhao et al., 2011)","plainTextFormattedCitation":"(Anuar &amp; Dewayanti, 2021; El Hafdaoui et al., 2025; Zhao et al., 2011)","previouslyFormattedCitation":"(Anuar &amp; Dewayanti, 2021; El Hafdaoui et al., 2025; Zhao et al., 2011)"},"properties":{"noteIndex":0},"schema":"https://github.com/citation-style-language/schema/raw/master/csl-citation.json"}</w:instrText>
      </w:r>
      <w:r w:rsidR="00CD1C3F">
        <w:rPr>
          <w:rFonts w:ascii="Book Antiqua" w:eastAsia="Book Antiqua" w:hAnsi="Book Antiqua" w:cs="Book Antiqua"/>
          <w:sz w:val="20"/>
          <w:szCs w:val="20"/>
        </w:rPr>
        <w:fldChar w:fldCharType="separate"/>
      </w:r>
      <w:r w:rsidR="00CD1C3F" w:rsidRPr="00DC691B">
        <w:rPr>
          <w:rFonts w:ascii="Book Antiqua" w:eastAsia="Book Antiqua" w:hAnsi="Book Antiqua" w:cs="Book Antiqua"/>
          <w:noProof/>
          <w:sz w:val="20"/>
          <w:szCs w:val="20"/>
        </w:rPr>
        <w:t>(Anuar &amp; Dewayanti, 2021; El Hafdaoui et al., 2025; Zhao et al., 2011)</w:t>
      </w:r>
      <w:r w:rsidR="00CD1C3F">
        <w:rPr>
          <w:rFonts w:ascii="Book Antiqua" w:eastAsia="Book Antiqua" w:hAnsi="Book Antiqua" w:cs="Book Antiqua"/>
          <w:sz w:val="20"/>
          <w:szCs w:val="20"/>
        </w:rPr>
        <w:fldChar w:fldCharType="end"/>
      </w:r>
      <w:r w:rsidR="00CD1C3F">
        <w:rPr>
          <w:rFonts w:ascii="Book Antiqua" w:eastAsia="Book Antiqua" w:hAnsi="Book Antiqua" w:cs="Book Antiqua"/>
          <w:sz w:val="20"/>
          <w:szCs w:val="20"/>
        </w:rPr>
        <w:t>.</w:t>
      </w:r>
    </w:p>
    <w:p w14:paraId="311BD56A" w14:textId="77777777" w:rsidR="002977C0" w:rsidRDefault="002977C0" w:rsidP="002977C0">
      <w:pPr>
        <w:spacing w:line="240" w:lineRule="auto"/>
        <w:jc w:val="both"/>
        <w:rPr>
          <w:rFonts w:ascii="Book Antiqua" w:eastAsia="Book Antiqua" w:hAnsi="Book Antiqua" w:cs="Book Antiqua"/>
          <w:sz w:val="20"/>
          <w:szCs w:val="20"/>
        </w:rPr>
      </w:pPr>
      <w:r w:rsidRPr="002977C0">
        <w:rPr>
          <w:rFonts w:ascii="Book Antiqua" w:eastAsia="Book Antiqua" w:hAnsi="Book Antiqua" w:cs="Book Antiqua"/>
          <w:sz w:val="20"/>
          <w:szCs w:val="20"/>
        </w:rPr>
        <w:t>Strategic recommendations to address these challenges include establishing cross-ministerial task forces capable of harmonizing central and regional regulations to avoid conflicts. Developing renewable energy innovation centers and reskilling programs for fossil fuel workers is also crucial to help them adapt to the changing energy economy. In terms of funding, blended finance schemes that combine public and private investments, along with incentives for private investors, are expected to encourage greater investment in the clean energy sector.</w:t>
      </w:r>
    </w:p>
    <w:p w14:paraId="47A3B821" w14:textId="3865021B" w:rsidR="00CD1C3F" w:rsidRDefault="002977C0" w:rsidP="00CD1C3F">
      <w:pPr>
        <w:spacing w:after="0" w:line="240" w:lineRule="auto"/>
        <w:jc w:val="both"/>
        <w:rPr>
          <w:rFonts w:ascii="Book Antiqua" w:eastAsia="Book Antiqua" w:hAnsi="Book Antiqua" w:cs="Book Antiqua"/>
          <w:sz w:val="20"/>
          <w:szCs w:val="20"/>
        </w:rPr>
      </w:pPr>
      <w:r w:rsidRPr="002977C0">
        <w:rPr>
          <w:rFonts w:ascii="Book Antiqua" w:eastAsia="Book Antiqua" w:hAnsi="Book Antiqua" w:cs="Book Antiqua"/>
          <w:sz w:val="20"/>
          <w:szCs w:val="20"/>
        </w:rPr>
        <w:t>Looking ahead, this cooperation is expected to continue contributing to a significant increase in Indonesia’s renewable energy capacity. It is also anticipated to create numerous jobs in the green energy sector and reduce greenhouse gas emissions from the energy sector. With the right strategies and close collaboration, Indonesia’s renewable energy transition can proceed faster and more inclusively.</w:t>
      </w:r>
    </w:p>
    <w:p w14:paraId="6EDBB2E3" w14:textId="77777777" w:rsidR="00CD1C3F" w:rsidRDefault="00CD1C3F" w:rsidP="00CD1C3F">
      <w:pPr>
        <w:spacing w:after="0" w:line="240" w:lineRule="auto"/>
        <w:jc w:val="both"/>
        <w:rPr>
          <w:rFonts w:ascii="Book Antiqua" w:eastAsia="Book Antiqua" w:hAnsi="Book Antiqua" w:cs="Book Antiqua"/>
          <w:sz w:val="20"/>
          <w:szCs w:val="20"/>
        </w:rPr>
      </w:pPr>
    </w:p>
    <w:p w14:paraId="05EE56D7" w14:textId="4C44CD36" w:rsidR="00F56850" w:rsidRPr="00F56850" w:rsidRDefault="00F56850" w:rsidP="00F56850">
      <w:pPr>
        <w:spacing w:line="240" w:lineRule="auto"/>
        <w:jc w:val="both"/>
        <w:rPr>
          <w:rFonts w:ascii="Book Antiqua" w:eastAsia="Book Antiqua" w:hAnsi="Book Antiqua" w:cs="Book Antiqua"/>
          <w:b/>
          <w:bCs/>
        </w:rPr>
      </w:pPr>
      <w:r w:rsidRPr="00F56850">
        <w:rPr>
          <w:rFonts w:ascii="Book Antiqua" w:eastAsia="Book Antiqua" w:hAnsi="Book Antiqua" w:cs="Book Antiqua"/>
          <w:b/>
          <w:bCs/>
        </w:rPr>
        <w:t xml:space="preserve">Conclusion </w:t>
      </w:r>
    </w:p>
    <w:p w14:paraId="463B4114" w14:textId="7AB4125D" w:rsidR="002977C0" w:rsidRDefault="00F56850" w:rsidP="00CD1C3F">
      <w:pPr>
        <w:spacing w:after="0" w:line="240" w:lineRule="auto"/>
        <w:jc w:val="both"/>
        <w:rPr>
          <w:rFonts w:ascii="Book Antiqua" w:eastAsia="Book Antiqua" w:hAnsi="Book Antiqua" w:cs="Book Antiqua"/>
          <w:sz w:val="20"/>
          <w:szCs w:val="20"/>
        </w:rPr>
      </w:pPr>
      <w:r w:rsidRPr="00F56850">
        <w:rPr>
          <w:rFonts w:ascii="Book Antiqua" w:eastAsia="Book Antiqua" w:hAnsi="Book Antiqua" w:cs="Book Antiqua"/>
          <w:sz w:val="20"/>
          <w:szCs w:val="20"/>
        </w:rPr>
        <w:t>The partnership between Indonesia and the United Kingdom</w:t>
      </w:r>
      <w:r>
        <w:rPr>
          <w:rFonts w:ascii="Book Antiqua" w:eastAsia="Book Antiqua" w:hAnsi="Book Antiqua" w:cs="Book Antiqua"/>
          <w:sz w:val="20"/>
          <w:szCs w:val="20"/>
        </w:rPr>
        <w:t>,</w:t>
      </w:r>
      <w:r w:rsidRPr="00F56850">
        <w:rPr>
          <w:rFonts w:ascii="Book Antiqua" w:eastAsia="Book Antiqua" w:hAnsi="Book Antiqua" w:cs="Book Antiqua"/>
          <w:sz w:val="20"/>
          <w:szCs w:val="20"/>
        </w:rPr>
        <w:t xml:space="preserve"> aimed at bolstering the carbon market and ensuring a fair energy transition</w:t>
      </w:r>
      <w:r>
        <w:rPr>
          <w:rFonts w:ascii="Book Antiqua" w:eastAsia="Book Antiqua" w:hAnsi="Book Antiqua" w:cs="Book Antiqua"/>
          <w:sz w:val="20"/>
          <w:szCs w:val="20"/>
        </w:rPr>
        <w:t>,</w:t>
      </w:r>
      <w:r w:rsidRPr="00F56850">
        <w:rPr>
          <w:rFonts w:ascii="Book Antiqua" w:eastAsia="Book Antiqua" w:hAnsi="Book Antiqua" w:cs="Book Antiqua"/>
          <w:sz w:val="20"/>
          <w:szCs w:val="20"/>
        </w:rPr>
        <w:t xml:space="preserve"> has shown promising results. This success stems from improvements in the MRV system, financial support from the UK PACT program, and the transfer of renewable energy technologies, all of which have strengthened Indonesia’s technical abilities and national policies. By leveraging the concepts of institutional liberalism and complex interdependence, this collaboration aligns the interests of both countries: the UK supplies funding, technology, and expertise, while Indonesia offers substantial potential for emission reductions through effective forest management and clean energy development. Despite facing challenges like reliance on imported technology, overlapping policy frameworks, and the necessity to reskill workers in the fossil fuel sector, this partnership could significantly advance Indonesia’s net-zero target by 2060. Moving forward, it’s essential to concentrate on enhancing local capacity, implementing creative blended finance strategies, and engaging local communities to ensure a just, inclusive, and sustainable energy transition.</w:t>
      </w:r>
    </w:p>
    <w:p w14:paraId="091502A3" w14:textId="77777777" w:rsidR="00F56850" w:rsidRPr="00594405" w:rsidRDefault="00F56850" w:rsidP="00CD1C3F">
      <w:pPr>
        <w:spacing w:after="0" w:line="240" w:lineRule="auto"/>
        <w:jc w:val="both"/>
        <w:rPr>
          <w:rFonts w:ascii="Book Antiqua" w:eastAsia="Book Antiqua" w:hAnsi="Book Antiqua" w:cs="Book Antiqua"/>
          <w:sz w:val="20"/>
          <w:szCs w:val="20"/>
        </w:rPr>
      </w:pPr>
    </w:p>
    <w:p w14:paraId="7D6A93B1" w14:textId="77777777" w:rsidR="00CD1C3F" w:rsidRPr="001B0A85" w:rsidRDefault="00CD1C3F" w:rsidP="00CD1C3F">
      <w:pPr>
        <w:ind w:left="284" w:hanging="284"/>
        <w:jc w:val="both"/>
        <w:rPr>
          <w:rFonts w:ascii="Book Antiqua" w:eastAsia="Book Antiqua" w:hAnsi="Book Antiqua" w:cs="Book Antiqua"/>
          <w:sz w:val="20"/>
          <w:szCs w:val="20"/>
        </w:rPr>
      </w:pPr>
      <w:r>
        <w:rPr>
          <w:rFonts w:ascii="Book Antiqua" w:eastAsia="Book Antiqua" w:hAnsi="Book Antiqua" w:cs="Book Antiqua"/>
          <w:b/>
        </w:rPr>
        <w:t>References</w:t>
      </w:r>
    </w:p>
    <w:p w14:paraId="46CCDA71" w14:textId="081BD9A7" w:rsidR="005B2CB3" w:rsidRPr="005B2CB3" w:rsidRDefault="00CD1C3F"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2B16E6">
        <w:rPr>
          <w:rFonts w:ascii="Book Antiqua" w:eastAsia="Times New Roman" w:hAnsi="Book Antiqua" w:cs="Times New Roman"/>
          <w:sz w:val="20"/>
          <w:szCs w:val="20"/>
        </w:rPr>
        <w:fldChar w:fldCharType="begin" w:fldLock="1"/>
      </w:r>
      <w:r w:rsidRPr="002B16E6">
        <w:rPr>
          <w:rFonts w:ascii="Book Antiqua" w:eastAsia="Times New Roman" w:hAnsi="Book Antiqua" w:cs="Times New Roman"/>
          <w:sz w:val="20"/>
          <w:szCs w:val="20"/>
        </w:rPr>
        <w:instrText xml:space="preserve">ADDIN Mendeley Bibliography CSL_BIBLIOGRAPHY </w:instrText>
      </w:r>
      <w:r w:rsidRPr="002B16E6">
        <w:rPr>
          <w:rFonts w:ascii="Book Antiqua" w:eastAsia="Times New Roman" w:hAnsi="Book Antiqua" w:cs="Times New Roman"/>
          <w:sz w:val="20"/>
          <w:szCs w:val="20"/>
        </w:rPr>
        <w:fldChar w:fldCharType="separate"/>
      </w:r>
      <w:bookmarkStart w:id="0" w:name="_Hlk205913597"/>
      <w:r w:rsidR="005B2CB3" w:rsidRPr="005B2CB3">
        <w:rPr>
          <w:rFonts w:ascii="Book Antiqua" w:hAnsi="Book Antiqua" w:cs="Times New Roman"/>
          <w:noProof/>
          <w:sz w:val="20"/>
        </w:rPr>
        <w:t xml:space="preserve">Anuar, A., &amp; Dewayanti, A. (2021). Trust in the Process: Renewable Energy Governance in Malaysia and Indonesia. </w:t>
      </w:r>
      <w:r w:rsidR="005B2CB3" w:rsidRPr="005B2CB3">
        <w:rPr>
          <w:rFonts w:ascii="Book Antiqua" w:hAnsi="Book Antiqua" w:cs="Times New Roman"/>
          <w:i/>
          <w:iCs/>
          <w:noProof/>
          <w:sz w:val="20"/>
        </w:rPr>
        <w:t>Politics and Policy</w:t>
      </w:r>
      <w:r w:rsidR="005B2CB3" w:rsidRPr="005B2CB3">
        <w:rPr>
          <w:rFonts w:ascii="Book Antiqua" w:hAnsi="Book Antiqua" w:cs="Times New Roman"/>
          <w:noProof/>
          <w:sz w:val="20"/>
        </w:rPr>
        <w:t xml:space="preserve">, </w:t>
      </w:r>
      <w:r w:rsidR="005B2CB3" w:rsidRPr="005B2CB3">
        <w:rPr>
          <w:rFonts w:ascii="Book Antiqua" w:hAnsi="Book Antiqua" w:cs="Times New Roman"/>
          <w:i/>
          <w:iCs/>
          <w:noProof/>
          <w:sz w:val="20"/>
        </w:rPr>
        <w:t>49</w:t>
      </w:r>
      <w:r w:rsidR="005B2CB3" w:rsidRPr="005B2CB3">
        <w:rPr>
          <w:rFonts w:ascii="Book Antiqua" w:hAnsi="Book Antiqua" w:cs="Times New Roman"/>
          <w:noProof/>
          <w:sz w:val="20"/>
        </w:rPr>
        <w:t>(3), 740–770. https://doi.org/10.1111/polp.12409</w:t>
      </w:r>
    </w:p>
    <w:p w14:paraId="3BE4F68B"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Arkantryo, M. D., Susilawati, N., Aditya, I. B. P., &amp; Krishnamurti, I. (2023). The Partnership Between Indonesia and United Kingdom to Achieve the NetZero Emission Goal on Behalf of Sustainable Development Action. </w:t>
      </w:r>
      <w:r w:rsidRPr="005B2CB3">
        <w:rPr>
          <w:rFonts w:ascii="Book Antiqua" w:hAnsi="Book Antiqua" w:cs="Times New Roman"/>
          <w:i/>
          <w:iCs/>
          <w:noProof/>
          <w:sz w:val="20"/>
        </w:rPr>
        <w:t>Liaison Journal of Best</w:t>
      </w:r>
      <w:r w:rsidRPr="005B2CB3">
        <w:rPr>
          <w:rFonts w:ascii="Book Antiqua" w:hAnsi="Book Antiqua" w:cs="Times New Roman"/>
          <w:noProof/>
          <w:sz w:val="20"/>
        </w:rPr>
        <w:t xml:space="preserve">, </w:t>
      </w:r>
      <w:r w:rsidRPr="005B2CB3">
        <w:rPr>
          <w:rFonts w:ascii="Book Antiqua" w:hAnsi="Book Antiqua" w:cs="Times New Roman"/>
          <w:i/>
          <w:iCs/>
          <w:noProof/>
          <w:sz w:val="20"/>
        </w:rPr>
        <w:t>2</w:t>
      </w:r>
      <w:r w:rsidRPr="005B2CB3">
        <w:rPr>
          <w:rFonts w:ascii="Book Antiqua" w:hAnsi="Book Antiqua" w:cs="Times New Roman"/>
          <w:noProof/>
          <w:sz w:val="20"/>
        </w:rPr>
        <w:t>(1), 51–88.</w:t>
      </w:r>
    </w:p>
    <w:p w14:paraId="59D31600"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Axelrod, R., &amp; Keohane, R. O. (1985). Achieving Cooperation under Anarchy: Strategies and Institutions. </w:t>
      </w:r>
      <w:r w:rsidRPr="005B2CB3">
        <w:rPr>
          <w:rFonts w:ascii="Book Antiqua" w:hAnsi="Book Antiqua" w:cs="Times New Roman"/>
          <w:i/>
          <w:iCs/>
          <w:noProof/>
          <w:sz w:val="20"/>
        </w:rPr>
        <w:t>World Politics</w:t>
      </w:r>
      <w:r w:rsidRPr="005B2CB3">
        <w:rPr>
          <w:rFonts w:ascii="Book Antiqua" w:hAnsi="Book Antiqua" w:cs="Times New Roman"/>
          <w:noProof/>
          <w:sz w:val="20"/>
        </w:rPr>
        <w:t xml:space="preserve">, </w:t>
      </w:r>
      <w:r w:rsidRPr="005B2CB3">
        <w:rPr>
          <w:rFonts w:ascii="Book Antiqua" w:hAnsi="Book Antiqua" w:cs="Times New Roman"/>
          <w:i/>
          <w:iCs/>
          <w:noProof/>
          <w:sz w:val="20"/>
        </w:rPr>
        <w:t>38</w:t>
      </w:r>
      <w:r w:rsidRPr="005B2CB3">
        <w:rPr>
          <w:rFonts w:ascii="Book Antiqua" w:hAnsi="Book Antiqua" w:cs="Times New Roman"/>
          <w:noProof/>
          <w:sz w:val="20"/>
        </w:rPr>
        <w:t>(1), 226–254. https://doi.org/10.2307/2010357</w:t>
      </w:r>
    </w:p>
    <w:p w14:paraId="11FFE03C"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El Hafdaoui, H., Khallaayoun, A., &amp; Al-Majeed, S. (2025). Renewable energies in Morocco: A comprehensive review and analysis of current status, policy framework, and prospective potential. </w:t>
      </w:r>
      <w:r w:rsidRPr="005B2CB3">
        <w:rPr>
          <w:rFonts w:ascii="Book Antiqua" w:hAnsi="Book Antiqua" w:cs="Times New Roman"/>
          <w:i/>
          <w:iCs/>
          <w:noProof/>
          <w:sz w:val="20"/>
        </w:rPr>
        <w:lastRenderedPageBreak/>
        <w:t>Energy Conversion and Management: X</w:t>
      </w:r>
      <w:r w:rsidRPr="005B2CB3">
        <w:rPr>
          <w:rFonts w:ascii="Book Antiqua" w:hAnsi="Book Antiqua" w:cs="Times New Roman"/>
          <w:noProof/>
          <w:sz w:val="20"/>
        </w:rPr>
        <w:t xml:space="preserve">, </w:t>
      </w:r>
      <w:r w:rsidRPr="005B2CB3">
        <w:rPr>
          <w:rFonts w:ascii="Book Antiqua" w:hAnsi="Book Antiqua" w:cs="Times New Roman"/>
          <w:i/>
          <w:iCs/>
          <w:noProof/>
          <w:sz w:val="20"/>
        </w:rPr>
        <w:t>26</w:t>
      </w:r>
      <w:r w:rsidRPr="005B2CB3">
        <w:rPr>
          <w:rFonts w:ascii="Book Antiqua" w:hAnsi="Book Antiqua" w:cs="Times New Roman"/>
          <w:noProof/>
          <w:sz w:val="20"/>
        </w:rPr>
        <w:t>(December 2024), 100967. https://doi.org/10.1016/j.ecmx.2025.100967</w:t>
      </w:r>
    </w:p>
    <w:p w14:paraId="204A164C" w14:textId="1AD1F7B5"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Florentina, A., Ginanjar, Y., &amp; ... (2024). Kerjasama Indonesia-Inggris Dalam Pengembangan Energi Rendah Karbon 2019-2023</w:t>
      </w:r>
      <w:r w:rsidR="00A958A0">
        <w:rPr>
          <w:rFonts w:ascii="Book Antiqua" w:hAnsi="Book Antiqua" w:cs="Times New Roman"/>
          <w:noProof/>
          <w:sz w:val="20"/>
        </w:rPr>
        <w:t xml:space="preserve"> [</w:t>
      </w:r>
      <w:r w:rsidR="00A958A0" w:rsidRPr="00A958A0">
        <w:rPr>
          <w:rFonts w:ascii="Book Antiqua" w:hAnsi="Book Antiqua" w:cs="Times New Roman"/>
          <w:noProof/>
          <w:sz w:val="20"/>
        </w:rPr>
        <w:t>Indonesia-UK Cooperation in Low-Carbon Energy Development 2019–2023</w:t>
      </w:r>
      <w:r w:rsidR="00A958A0">
        <w:rPr>
          <w:rFonts w:ascii="Book Antiqua" w:hAnsi="Book Antiqua" w:cs="Times New Roman"/>
          <w:noProof/>
          <w:sz w:val="20"/>
        </w:rPr>
        <w:t>]</w:t>
      </w:r>
      <w:r w:rsidRPr="005B2CB3">
        <w:rPr>
          <w:rFonts w:ascii="Book Antiqua" w:hAnsi="Book Antiqua" w:cs="Times New Roman"/>
          <w:noProof/>
          <w:sz w:val="20"/>
        </w:rPr>
        <w:t xml:space="preserve">. </w:t>
      </w:r>
      <w:r w:rsidRPr="005B2CB3">
        <w:rPr>
          <w:rFonts w:ascii="Book Antiqua" w:hAnsi="Book Antiqua" w:cs="Times New Roman"/>
          <w:i/>
          <w:iCs/>
          <w:noProof/>
          <w:sz w:val="20"/>
        </w:rPr>
        <w:t>Global Insights Journal …</w:t>
      </w:r>
      <w:r w:rsidRPr="005B2CB3">
        <w:rPr>
          <w:rFonts w:ascii="Book Antiqua" w:hAnsi="Book Antiqua" w:cs="Times New Roman"/>
          <w:noProof/>
          <w:sz w:val="20"/>
        </w:rPr>
        <w:t xml:space="preserve">, </w:t>
      </w:r>
      <w:r w:rsidRPr="005B2CB3">
        <w:rPr>
          <w:rFonts w:ascii="Book Antiqua" w:hAnsi="Book Antiqua" w:cs="Times New Roman"/>
          <w:i/>
          <w:iCs/>
          <w:noProof/>
          <w:sz w:val="20"/>
        </w:rPr>
        <w:t>01</w:t>
      </w:r>
      <w:r w:rsidRPr="005B2CB3">
        <w:rPr>
          <w:rFonts w:ascii="Book Antiqua" w:hAnsi="Book Antiqua" w:cs="Times New Roman"/>
          <w:noProof/>
          <w:sz w:val="20"/>
        </w:rPr>
        <w:t>(01).</w:t>
      </w:r>
    </w:p>
    <w:p w14:paraId="55461370"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Keohane, R. O. (2012). Twenty years of institutional liberalism. </w:t>
      </w:r>
      <w:r w:rsidRPr="005B2CB3">
        <w:rPr>
          <w:rFonts w:ascii="Book Antiqua" w:hAnsi="Book Antiqua" w:cs="Times New Roman"/>
          <w:i/>
          <w:iCs/>
          <w:noProof/>
          <w:sz w:val="20"/>
        </w:rPr>
        <w:t>International Relations</w:t>
      </w:r>
      <w:r w:rsidRPr="005B2CB3">
        <w:rPr>
          <w:rFonts w:ascii="Book Antiqua" w:hAnsi="Book Antiqua" w:cs="Times New Roman"/>
          <w:noProof/>
          <w:sz w:val="20"/>
        </w:rPr>
        <w:t xml:space="preserve">, </w:t>
      </w:r>
      <w:r w:rsidRPr="005B2CB3">
        <w:rPr>
          <w:rFonts w:ascii="Book Antiqua" w:hAnsi="Book Antiqua" w:cs="Times New Roman"/>
          <w:i/>
          <w:iCs/>
          <w:noProof/>
          <w:sz w:val="20"/>
        </w:rPr>
        <w:t>26</w:t>
      </w:r>
      <w:r w:rsidRPr="005B2CB3">
        <w:rPr>
          <w:rFonts w:ascii="Book Antiqua" w:hAnsi="Book Antiqua" w:cs="Times New Roman"/>
          <w:noProof/>
          <w:sz w:val="20"/>
        </w:rPr>
        <w:t>(2), 125–138. https://doi.org/10.1177/0047117812438451</w:t>
      </w:r>
    </w:p>
    <w:p w14:paraId="7C648181"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Keohane, R. O., &amp; Nye, J. S. (1996). Understanding interdependence. In </w:t>
      </w:r>
      <w:r w:rsidRPr="005B2CB3">
        <w:rPr>
          <w:rFonts w:ascii="Book Antiqua" w:hAnsi="Book Antiqua" w:cs="Times New Roman"/>
          <w:i/>
          <w:iCs/>
          <w:noProof/>
          <w:sz w:val="20"/>
        </w:rPr>
        <w:t>Journal of Macroeconomics</w:t>
      </w:r>
      <w:r w:rsidRPr="005B2CB3">
        <w:rPr>
          <w:rFonts w:ascii="Book Antiqua" w:hAnsi="Book Antiqua" w:cs="Times New Roman"/>
          <w:noProof/>
          <w:sz w:val="20"/>
        </w:rPr>
        <w:t xml:space="preserve"> (Vol. 18, Issue 2). https://doi.org/10.1016/s0164-0704(96)80090-5</w:t>
      </w:r>
    </w:p>
    <w:p w14:paraId="36C93F8E"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Krogmann, D. (2025). Liberal environmentalism and climate change in the polycrisis. </w:t>
      </w:r>
      <w:r w:rsidRPr="005B2CB3">
        <w:rPr>
          <w:rFonts w:ascii="Book Antiqua" w:hAnsi="Book Antiqua" w:cs="Times New Roman"/>
          <w:i/>
          <w:iCs/>
          <w:noProof/>
          <w:sz w:val="20"/>
        </w:rPr>
        <w:t>Global Sustainability</w:t>
      </w:r>
      <w:r w:rsidRPr="005B2CB3">
        <w:rPr>
          <w:rFonts w:ascii="Book Antiqua" w:hAnsi="Book Antiqua" w:cs="Times New Roman"/>
          <w:noProof/>
          <w:sz w:val="20"/>
        </w:rPr>
        <w:t xml:space="preserve">, </w:t>
      </w:r>
      <w:r w:rsidRPr="005B2CB3">
        <w:rPr>
          <w:rFonts w:ascii="Book Antiqua" w:hAnsi="Book Antiqua" w:cs="Times New Roman"/>
          <w:i/>
          <w:iCs/>
          <w:noProof/>
          <w:sz w:val="20"/>
        </w:rPr>
        <w:t>8</w:t>
      </w:r>
      <w:r w:rsidRPr="005B2CB3">
        <w:rPr>
          <w:rFonts w:ascii="Book Antiqua" w:hAnsi="Book Antiqua" w:cs="Times New Roman"/>
          <w:noProof/>
          <w:sz w:val="20"/>
        </w:rPr>
        <w:t>. https://doi.org/10.1017/sus.2025.13</w:t>
      </w:r>
    </w:p>
    <w:p w14:paraId="6197F0A4"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Mali, Y. C. G. (2023). A book review: Case study: Case study research and applications design and methods (6th ed.) by Yin. </w:t>
      </w:r>
      <w:r w:rsidRPr="005B2CB3">
        <w:rPr>
          <w:rFonts w:ascii="Book Antiqua" w:hAnsi="Book Antiqua" w:cs="Times New Roman"/>
          <w:i/>
          <w:iCs/>
          <w:noProof/>
          <w:sz w:val="20"/>
        </w:rPr>
        <w:t>Beyond Words</w:t>
      </w:r>
      <w:r w:rsidRPr="005B2CB3">
        <w:rPr>
          <w:rFonts w:ascii="Book Antiqua" w:hAnsi="Book Antiqua" w:cs="Times New Roman"/>
          <w:noProof/>
          <w:sz w:val="20"/>
        </w:rPr>
        <w:t xml:space="preserve">, </w:t>
      </w:r>
      <w:r w:rsidRPr="005B2CB3">
        <w:rPr>
          <w:rFonts w:ascii="Book Antiqua" w:hAnsi="Book Antiqua" w:cs="Times New Roman"/>
          <w:i/>
          <w:iCs/>
          <w:noProof/>
          <w:sz w:val="20"/>
        </w:rPr>
        <w:t>11</w:t>
      </w:r>
      <w:r w:rsidRPr="005B2CB3">
        <w:rPr>
          <w:rFonts w:ascii="Book Antiqua" w:hAnsi="Book Antiqua" w:cs="Times New Roman"/>
          <w:noProof/>
          <w:sz w:val="20"/>
        </w:rPr>
        <w:t>(1), 61–64.</w:t>
      </w:r>
    </w:p>
    <w:p w14:paraId="1CF7BD6A" w14:textId="6BA30A11"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Rohma, M. N. (2024). Analisis Diskursus Pembangunan Berkelanjutan dalam Upaya Transisi Energi Indonesia Tahun 2015-2022</w:t>
      </w:r>
      <w:r w:rsidR="00A958A0">
        <w:rPr>
          <w:rFonts w:ascii="Book Antiqua" w:hAnsi="Book Antiqua" w:cs="Times New Roman"/>
          <w:noProof/>
          <w:sz w:val="20"/>
        </w:rPr>
        <w:t xml:space="preserve"> [</w:t>
      </w:r>
      <w:r w:rsidR="00A958A0" w:rsidRPr="00A958A0">
        <w:rPr>
          <w:rFonts w:ascii="Book Antiqua" w:hAnsi="Book Antiqua" w:cs="Times New Roman"/>
          <w:noProof/>
          <w:sz w:val="20"/>
        </w:rPr>
        <w:t>Discourse Analysis of Sustainable Development in Indonesia’s Energy Transition Efforts 2015–2022</w:t>
      </w:r>
      <w:r w:rsidR="00A958A0">
        <w:rPr>
          <w:rFonts w:ascii="Book Antiqua" w:hAnsi="Book Antiqua" w:cs="Times New Roman"/>
          <w:noProof/>
          <w:sz w:val="20"/>
        </w:rPr>
        <w:t>]</w:t>
      </w:r>
      <w:r w:rsidRPr="005B2CB3">
        <w:rPr>
          <w:rFonts w:ascii="Book Antiqua" w:hAnsi="Book Antiqua" w:cs="Times New Roman"/>
          <w:noProof/>
          <w:sz w:val="20"/>
        </w:rPr>
        <w:t xml:space="preserve">. </w:t>
      </w:r>
      <w:r w:rsidRPr="005B2CB3">
        <w:rPr>
          <w:rFonts w:ascii="Book Antiqua" w:hAnsi="Book Antiqua" w:cs="Times New Roman"/>
          <w:i/>
          <w:iCs/>
          <w:noProof/>
          <w:sz w:val="20"/>
        </w:rPr>
        <w:t>Jurnal Hubungan Internasional Peradaban</w:t>
      </w:r>
      <w:r w:rsidRPr="005B2CB3">
        <w:rPr>
          <w:rFonts w:ascii="Book Antiqua" w:hAnsi="Book Antiqua" w:cs="Times New Roman"/>
          <w:noProof/>
          <w:sz w:val="20"/>
        </w:rPr>
        <w:t xml:space="preserve">, </w:t>
      </w:r>
      <w:r w:rsidRPr="005B2CB3">
        <w:rPr>
          <w:rFonts w:ascii="Book Antiqua" w:hAnsi="Book Antiqua" w:cs="Times New Roman"/>
          <w:i/>
          <w:iCs/>
          <w:noProof/>
          <w:sz w:val="20"/>
        </w:rPr>
        <w:t>03</w:t>
      </w:r>
      <w:r w:rsidRPr="005B2CB3">
        <w:rPr>
          <w:rFonts w:ascii="Book Antiqua" w:hAnsi="Book Antiqua" w:cs="Times New Roman"/>
          <w:noProof/>
          <w:sz w:val="20"/>
        </w:rPr>
        <w:t>(01), 1–30.</w:t>
      </w:r>
    </w:p>
    <w:p w14:paraId="672A4C52"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 xml:space="preserve">Wang, L., Pal, S., Mahalik, M. K., &amp; Gozgor, G. (2025). Empowering sustainable development in emerging economies: The role of renewable energy and domestic investment. </w:t>
      </w:r>
      <w:r w:rsidRPr="005B2CB3">
        <w:rPr>
          <w:rFonts w:ascii="Book Antiqua" w:hAnsi="Book Antiqua" w:cs="Times New Roman"/>
          <w:i/>
          <w:iCs/>
          <w:noProof/>
          <w:sz w:val="20"/>
        </w:rPr>
        <w:t>Energy Economics</w:t>
      </w:r>
      <w:r w:rsidRPr="005B2CB3">
        <w:rPr>
          <w:rFonts w:ascii="Book Antiqua" w:hAnsi="Book Antiqua" w:cs="Times New Roman"/>
          <w:noProof/>
          <w:sz w:val="20"/>
        </w:rPr>
        <w:t xml:space="preserve">, </w:t>
      </w:r>
      <w:r w:rsidRPr="005B2CB3">
        <w:rPr>
          <w:rFonts w:ascii="Book Antiqua" w:hAnsi="Book Antiqua" w:cs="Times New Roman"/>
          <w:i/>
          <w:iCs/>
          <w:noProof/>
          <w:sz w:val="20"/>
        </w:rPr>
        <w:t>148</w:t>
      </w:r>
      <w:r w:rsidRPr="005B2CB3">
        <w:rPr>
          <w:rFonts w:ascii="Book Antiqua" w:hAnsi="Book Antiqua" w:cs="Times New Roman"/>
          <w:noProof/>
          <w:sz w:val="20"/>
        </w:rPr>
        <w:t>(April), 108631. https://doi.org/10.1016/j.eneco.2025.108631</w:t>
      </w:r>
    </w:p>
    <w:p w14:paraId="5CBEC433" w14:textId="79FB3F75" w:rsidR="005B2CB3" w:rsidRPr="005B2CB3" w:rsidRDefault="005B2CB3" w:rsidP="005B2CB3">
      <w:pPr>
        <w:widowControl w:val="0"/>
        <w:autoSpaceDE w:val="0"/>
        <w:autoSpaceDN w:val="0"/>
        <w:adjustRightInd w:val="0"/>
        <w:spacing w:after="0" w:line="240" w:lineRule="auto"/>
        <w:ind w:left="480" w:hanging="480"/>
        <w:rPr>
          <w:rFonts w:ascii="Book Antiqua" w:hAnsi="Book Antiqua" w:cs="Times New Roman"/>
          <w:noProof/>
          <w:sz w:val="20"/>
        </w:rPr>
      </w:pPr>
      <w:r w:rsidRPr="005B2CB3">
        <w:rPr>
          <w:rFonts w:ascii="Book Antiqua" w:hAnsi="Book Antiqua" w:cs="Times New Roman"/>
          <w:noProof/>
          <w:sz w:val="20"/>
        </w:rPr>
        <w:t>Wibowo, A. (2025). Peluang Indonesia Dalam Pasar Karbon Global: Strategi Menjadi Pemain Kunci Di Asia Tenggara</w:t>
      </w:r>
      <w:r w:rsidR="00A958A0">
        <w:rPr>
          <w:rFonts w:ascii="Book Antiqua" w:hAnsi="Book Antiqua" w:cs="Times New Roman"/>
          <w:noProof/>
          <w:sz w:val="20"/>
        </w:rPr>
        <w:t xml:space="preserve"> [</w:t>
      </w:r>
      <w:r w:rsidR="00A958A0" w:rsidRPr="00A958A0">
        <w:rPr>
          <w:rFonts w:ascii="Book Antiqua" w:hAnsi="Book Antiqua" w:cs="Times New Roman"/>
          <w:noProof/>
          <w:sz w:val="20"/>
        </w:rPr>
        <w:t>Indonesia’s Opportunities in the Global Carbon Market: Strategy to Become a Key Player in Southeast Asia</w:t>
      </w:r>
      <w:r w:rsidR="00A958A0">
        <w:rPr>
          <w:rFonts w:ascii="Book Antiqua" w:hAnsi="Book Antiqua" w:cs="Times New Roman"/>
          <w:noProof/>
          <w:sz w:val="20"/>
        </w:rPr>
        <w:t>]</w:t>
      </w:r>
      <w:r w:rsidRPr="005B2CB3">
        <w:rPr>
          <w:rFonts w:ascii="Book Antiqua" w:hAnsi="Book Antiqua" w:cs="Times New Roman"/>
          <w:noProof/>
          <w:sz w:val="20"/>
        </w:rPr>
        <w:t xml:space="preserve">. </w:t>
      </w:r>
      <w:r w:rsidRPr="005B2CB3">
        <w:rPr>
          <w:rFonts w:ascii="Book Antiqua" w:hAnsi="Book Antiqua" w:cs="Times New Roman"/>
          <w:i/>
          <w:iCs/>
          <w:noProof/>
          <w:sz w:val="20"/>
        </w:rPr>
        <w:t>Prosiding Seminar Sosial Politik, Bisnis, Akuntansi Dan Teknik</w:t>
      </w:r>
      <w:r w:rsidRPr="005B2CB3">
        <w:rPr>
          <w:rFonts w:ascii="Book Antiqua" w:hAnsi="Book Antiqua" w:cs="Times New Roman"/>
          <w:noProof/>
          <w:sz w:val="20"/>
        </w:rPr>
        <w:t xml:space="preserve">, </w:t>
      </w:r>
      <w:r w:rsidRPr="005B2CB3">
        <w:rPr>
          <w:rFonts w:ascii="Book Antiqua" w:hAnsi="Book Antiqua" w:cs="Times New Roman"/>
          <w:i/>
          <w:iCs/>
          <w:noProof/>
          <w:sz w:val="20"/>
        </w:rPr>
        <w:t>6</w:t>
      </w:r>
      <w:r w:rsidRPr="005B2CB3">
        <w:rPr>
          <w:rFonts w:ascii="Book Antiqua" w:hAnsi="Book Antiqua" w:cs="Times New Roman"/>
          <w:noProof/>
          <w:sz w:val="20"/>
        </w:rPr>
        <w:t>, 230–242. https://doi.org/10.32897/sobat.2024.6.1.4187</w:t>
      </w:r>
    </w:p>
    <w:p w14:paraId="1D79AD46" w14:textId="77777777" w:rsidR="005B2CB3" w:rsidRPr="005B2CB3" w:rsidRDefault="005B2CB3" w:rsidP="005B2CB3">
      <w:pPr>
        <w:widowControl w:val="0"/>
        <w:autoSpaceDE w:val="0"/>
        <w:autoSpaceDN w:val="0"/>
        <w:adjustRightInd w:val="0"/>
        <w:spacing w:after="0" w:line="240" w:lineRule="auto"/>
        <w:ind w:left="480" w:hanging="480"/>
        <w:rPr>
          <w:rFonts w:ascii="Book Antiqua" w:hAnsi="Book Antiqua"/>
          <w:noProof/>
          <w:sz w:val="20"/>
        </w:rPr>
      </w:pPr>
      <w:r w:rsidRPr="005B2CB3">
        <w:rPr>
          <w:rFonts w:ascii="Book Antiqua" w:hAnsi="Book Antiqua" w:cs="Times New Roman"/>
          <w:noProof/>
          <w:sz w:val="20"/>
        </w:rPr>
        <w:t xml:space="preserve">Zhao, Z. Y., Zuo, J., Feng, T. T., &amp; Zillante, G. (2011). International cooperation on renewable energy development in China - A critical analysis. </w:t>
      </w:r>
      <w:r w:rsidRPr="005B2CB3">
        <w:rPr>
          <w:rFonts w:ascii="Book Antiqua" w:hAnsi="Book Antiqua" w:cs="Times New Roman"/>
          <w:i/>
          <w:iCs/>
          <w:noProof/>
          <w:sz w:val="20"/>
        </w:rPr>
        <w:t>Renewable Energy</w:t>
      </w:r>
      <w:r w:rsidRPr="005B2CB3">
        <w:rPr>
          <w:rFonts w:ascii="Book Antiqua" w:hAnsi="Book Antiqua" w:cs="Times New Roman"/>
          <w:noProof/>
          <w:sz w:val="20"/>
        </w:rPr>
        <w:t xml:space="preserve">, </w:t>
      </w:r>
      <w:r w:rsidRPr="005B2CB3">
        <w:rPr>
          <w:rFonts w:ascii="Book Antiqua" w:hAnsi="Book Antiqua" w:cs="Times New Roman"/>
          <w:i/>
          <w:iCs/>
          <w:noProof/>
          <w:sz w:val="20"/>
        </w:rPr>
        <w:t>36</w:t>
      </w:r>
      <w:r w:rsidRPr="005B2CB3">
        <w:rPr>
          <w:rFonts w:ascii="Book Antiqua" w:hAnsi="Book Antiqua" w:cs="Times New Roman"/>
          <w:noProof/>
          <w:sz w:val="20"/>
        </w:rPr>
        <w:t>(3), 1105–1110. https://doi.org/10.1016/j.renene.2010.09.002</w:t>
      </w:r>
    </w:p>
    <w:bookmarkEnd w:id="0"/>
    <w:p w14:paraId="1C02D714" w14:textId="77777777" w:rsidR="00CD1C3F" w:rsidRDefault="00CD1C3F" w:rsidP="00CD1C3F">
      <w:pPr>
        <w:widowControl w:val="0"/>
        <w:autoSpaceDE w:val="0"/>
        <w:autoSpaceDN w:val="0"/>
        <w:adjustRightInd w:val="0"/>
        <w:spacing w:line="240" w:lineRule="auto"/>
        <w:jc w:val="both"/>
        <w:rPr>
          <w:rFonts w:ascii="Book Antiqua" w:eastAsia="Times New Roman" w:hAnsi="Book Antiqua" w:cs="Times New Roman"/>
          <w:sz w:val="20"/>
          <w:szCs w:val="20"/>
        </w:rPr>
      </w:pPr>
      <w:r w:rsidRPr="002B16E6">
        <w:rPr>
          <w:rFonts w:ascii="Book Antiqua" w:eastAsia="Times New Roman" w:hAnsi="Book Antiqua" w:cs="Times New Roman"/>
          <w:sz w:val="20"/>
          <w:szCs w:val="20"/>
        </w:rPr>
        <w:fldChar w:fldCharType="end"/>
      </w:r>
    </w:p>
    <w:p w14:paraId="3401CA85" w14:textId="77777777" w:rsidR="00CD1C3F" w:rsidRDefault="00CD1C3F" w:rsidP="00CD1C3F">
      <w:pPr>
        <w:widowControl w:val="0"/>
        <w:autoSpaceDE w:val="0"/>
        <w:autoSpaceDN w:val="0"/>
        <w:adjustRightInd w:val="0"/>
        <w:spacing w:line="240" w:lineRule="auto"/>
        <w:jc w:val="both"/>
        <w:rPr>
          <w:rFonts w:ascii="Book Antiqua" w:eastAsia="Times New Roman" w:hAnsi="Book Antiqua" w:cs="Times New Roman"/>
          <w:b/>
          <w:bCs/>
          <w:sz w:val="20"/>
          <w:szCs w:val="20"/>
        </w:rPr>
      </w:pPr>
      <w:r w:rsidRPr="005D281F">
        <w:rPr>
          <w:rFonts w:ascii="Book Antiqua" w:eastAsia="Times New Roman" w:hAnsi="Book Antiqua" w:cs="Times New Roman"/>
          <w:b/>
          <w:bCs/>
          <w:sz w:val="20"/>
          <w:szCs w:val="20"/>
        </w:rPr>
        <w:t>Web</w:t>
      </w:r>
    </w:p>
    <w:p w14:paraId="43C32942" w14:textId="04EF37A1" w:rsidR="00CD1C3F" w:rsidRDefault="00A624AD" w:rsidP="00CD1C3F">
      <w:pPr>
        <w:widowControl w:val="0"/>
        <w:autoSpaceDE w:val="0"/>
        <w:autoSpaceDN w:val="0"/>
        <w:adjustRightInd w:val="0"/>
        <w:spacing w:after="0" w:line="240" w:lineRule="auto"/>
        <w:ind w:left="480" w:hanging="480"/>
        <w:jc w:val="both"/>
      </w:pPr>
      <w:r w:rsidRPr="00A624AD">
        <w:rPr>
          <w:rFonts w:ascii="Book Antiqua" w:eastAsia="Book Antiqua" w:hAnsi="Book Antiqua" w:cs="Book Antiqua"/>
          <w:sz w:val="20"/>
          <w:szCs w:val="20"/>
        </w:rPr>
        <w:t>Ministry of Environment</w:t>
      </w:r>
      <w:r w:rsidR="0003368F">
        <w:rPr>
          <w:rFonts w:ascii="Book Antiqua" w:eastAsia="Book Antiqua" w:hAnsi="Book Antiqua" w:cs="Book Antiqua"/>
          <w:sz w:val="20"/>
          <w:szCs w:val="20"/>
        </w:rPr>
        <w:t xml:space="preserve"> </w:t>
      </w:r>
      <w:r w:rsidR="0003368F" w:rsidRPr="0003368F">
        <w:rPr>
          <w:rFonts w:ascii="Book Antiqua" w:eastAsia="Book Antiqua" w:hAnsi="Book Antiqua" w:cs="Book Antiqua"/>
          <w:sz w:val="20"/>
          <w:szCs w:val="20"/>
        </w:rPr>
        <w:t>of the Republic of Indonesia</w:t>
      </w:r>
      <w:r w:rsidR="00CD1C3F" w:rsidRPr="001B0A85">
        <w:rPr>
          <w:rFonts w:ascii="Book Antiqua" w:eastAsia="Book Antiqua" w:hAnsi="Book Antiqua" w:cs="Book Antiqua"/>
          <w:sz w:val="20"/>
          <w:szCs w:val="20"/>
        </w:rPr>
        <w:t>. (2025,</w:t>
      </w:r>
      <w:r w:rsidR="00CD1C3F">
        <w:rPr>
          <w:rFonts w:ascii="Book Antiqua" w:eastAsia="Book Antiqua" w:hAnsi="Book Antiqua" w:cs="Book Antiqua"/>
          <w:sz w:val="20"/>
          <w:szCs w:val="20"/>
        </w:rPr>
        <w:t xml:space="preserve"> April 17</w:t>
      </w:r>
      <w:r w:rsidR="00CD1C3F" w:rsidRPr="001B0A85">
        <w:rPr>
          <w:rFonts w:ascii="Book Antiqua" w:eastAsia="Book Antiqua" w:hAnsi="Book Antiqua" w:cs="Book Antiqua"/>
          <w:sz w:val="20"/>
          <w:szCs w:val="20"/>
        </w:rPr>
        <w:t xml:space="preserve">). </w:t>
      </w:r>
      <w:r w:rsidR="00CD1C3F" w:rsidRPr="002B16E6">
        <w:rPr>
          <w:rFonts w:ascii="Book Antiqua" w:eastAsia="Book Antiqua" w:hAnsi="Book Antiqua" w:cs="Book Antiqua"/>
          <w:i/>
          <w:iCs/>
          <w:sz w:val="20"/>
          <w:szCs w:val="20"/>
        </w:rPr>
        <w:t xml:space="preserve">Indonesia-Inggris Perkuat Kerja Sama Iklim </w:t>
      </w:r>
      <w:r w:rsidR="00CD1C3F">
        <w:rPr>
          <w:rFonts w:ascii="Book Antiqua" w:eastAsia="Book Antiqua" w:hAnsi="Book Antiqua" w:cs="Book Antiqua"/>
          <w:i/>
          <w:iCs/>
          <w:sz w:val="20"/>
          <w:szCs w:val="20"/>
        </w:rPr>
        <w:t>d</w:t>
      </w:r>
      <w:r w:rsidR="00CD1C3F" w:rsidRPr="002B16E6">
        <w:rPr>
          <w:rFonts w:ascii="Book Antiqua" w:eastAsia="Book Antiqua" w:hAnsi="Book Antiqua" w:cs="Book Antiqua"/>
          <w:i/>
          <w:iCs/>
          <w:sz w:val="20"/>
          <w:szCs w:val="20"/>
        </w:rPr>
        <w:t xml:space="preserve">an Lingkungan: Dorong Pasar Karbon </w:t>
      </w:r>
      <w:r w:rsidR="00CD1C3F">
        <w:rPr>
          <w:rFonts w:ascii="Book Antiqua" w:eastAsia="Book Antiqua" w:hAnsi="Book Antiqua" w:cs="Book Antiqua"/>
          <w:i/>
          <w:iCs/>
          <w:sz w:val="20"/>
          <w:szCs w:val="20"/>
        </w:rPr>
        <w:t>d</w:t>
      </w:r>
      <w:r w:rsidR="00CD1C3F" w:rsidRPr="002B16E6">
        <w:rPr>
          <w:rFonts w:ascii="Book Antiqua" w:eastAsia="Book Antiqua" w:hAnsi="Book Antiqua" w:cs="Book Antiqua"/>
          <w:i/>
          <w:iCs/>
          <w:sz w:val="20"/>
          <w:szCs w:val="20"/>
        </w:rPr>
        <w:t>an Transisi Energi Berkeadilan</w:t>
      </w:r>
      <w:r w:rsidR="00CD1C3F">
        <w:rPr>
          <w:rFonts w:ascii="Book Antiqua" w:eastAsia="Book Antiqua" w:hAnsi="Book Antiqua" w:cs="Book Antiqua"/>
          <w:i/>
          <w:iCs/>
          <w:sz w:val="20"/>
          <w:szCs w:val="20"/>
        </w:rPr>
        <w:t xml:space="preserve"> </w:t>
      </w:r>
      <w:r w:rsidR="00CD1C3F" w:rsidRPr="000C12AA">
        <w:rPr>
          <w:rFonts w:ascii="Book Antiqua" w:eastAsia="Book Antiqua" w:hAnsi="Book Antiqua" w:cs="Book Antiqua"/>
          <w:i/>
          <w:iCs/>
          <w:sz w:val="20"/>
          <w:szCs w:val="20"/>
        </w:rPr>
        <w:t>[Indonesia</w:t>
      </w:r>
      <w:r w:rsidR="00CD1C3F">
        <w:rPr>
          <w:rFonts w:ascii="Book Antiqua" w:eastAsia="Book Antiqua" w:hAnsi="Book Antiqua" w:cs="Book Antiqua"/>
          <w:i/>
          <w:iCs/>
          <w:sz w:val="20"/>
          <w:szCs w:val="20"/>
        </w:rPr>
        <w:t>-</w:t>
      </w:r>
      <w:r w:rsidR="00CD1C3F" w:rsidRPr="000C12AA">
        <w:rPr>
          <w:rFonts w:ascii="Book Antiqua" w:eastAsia="Book Antiqua" w:hAnsi="Book Antiqua" w:cs="Book Antiqua"/>
          <w:i/>
          <w:iCs/>
          <w:sz w:val="20"/>
          <w:szCs w:val="20"/>
        </w:rPr>
        <w:t>UK strengthen climate and environmental cooperation: Promote carbon markets and a just energy transition]</w:t>
      </w:r>
      <w:r w:rsidR="00CD1C3F" w:rsidRPr="002B16E6">
        <w:rPr>
          <w:rFonts w:ascii="Book Antiqua" w:eastAsia="Book Antiqua" w:hAnsi="Book Antiqua" w:cs="Book Antiqua"/>
          <w:i/>
          <w:iCs/>
          <w:sz w:val="20"/>
          <w:szCs w:val="20"/>
        </w:rPr>
        <w:t xml:space="preserve">. </w:t>
      </w:r>
      <w:hyperlink r:id="rId10" w:history="1">
        <w:r w:rsidR="00CD1C3F" w:rsidRPr="008F1DDB">
          <w:rPr>
            <w:rStyle w:val="Hyperlink"/>
            <w:rFonts w:ascii="Book Antiqua" w:eastAsia="Book Antiqua" w:hAnsi="Book Antiqua" w:cs="Book Antiqua"/>
            <w:sz w:val="20"/>
            <w:szCs w:val="20"/>
          </w:rPr>
          <w:t>https://kemenlh.go.id/news/detail/indonesia-inggris-perkuat-kerja-sama-iklim-dan-lingkungan-dorong-pasar-karbon-dan-transisi-energi-berkeadilan</w:t>
        </w:r>
      </w:hyperlink>
    </w:p>
    <w:p w14:paraId="311293C2" w14:textId="33BA952F" w:rsidR="00CD1C3F" w:rsidRDefault="00A624AD" w:rsidP="00CD1C3F">
      <w:pPr>
        <w:widowControl w:val="0"/>
        <w:autoSpaceDE w:val="0"/>
        <w:autoSpaceDN w:val="0"/>
        <w:adjustRightInd w:val="0"/>
        <w:spacing w:after="0" w:line="240" w:lineRule="auto"/>
        <w:ind w:left="480" w:hanging="480"/>
        <w:jc w:val="both"/>
        <w:rPr>
          <w:rFonts w:ascii="Book Antiqua" w:hAnsi="Book Antiqua" w:cs="Times New Roman"/>
          <w:noProof/>
          <w:sz w:val="20"/>
        </w:rPr>
      </w:pPr>
      <w:r w:rsidRPr="00A624AD">
        <w:rPr>
          <w:rFonts w:ascii="Book Antiqua" w:hAnsi="Book Antiqua" w:cs="Times New Roman"/>
          <w:noProof/>
          <w:sz w:val="20"/>
        </w:rPr>
        <w:t>Ministry of Environment and Forestry of the Republic of Indonesia</w:t>
      </w:r>
      <w:r w:rsidR="00CD1C3F" w:rsidRPr="008F1E4B">
        <w:rPr>
          <w:rFonts w:ascii="Book Antiqua" w:hAnsi="Book Antiqua" w:cs="Times New Roman"/>
          <w:noProof/>
          <w:sz w:val="20"/>
        </w:rPr>
        <w:t xml:space="preserve">. (2024, September 17). </w:t>
      </w:r>
      <w:r w:rsidR="00CD1C3F" w:rsidRPr="008F1E4B">
        <w:rPr>
          <w:rFonts w:ascii="Book Antiqua" w:hAnsi="Book Antiqua" w:cs="Times New Roman"/>
          <w:i/>
          <w:iCs/>
          <w:noProof/>
          <w:sz w:val="20"/>
        </w:rPr>
        <w:t>Indonesia-Inggris perkuat kerja sama lingkungan dan iklim menuju COP29 UNFCCC dan COP16 CBD</w:t>
      </w:r>
      <w:r w:rsidR="00CD1C3F">
        <w:rPr>
          <w:rFonts w:ascii="Book Antiqua" w:hAnsi="Book Antiqua" w:cs="Times New Roman"/>
          <w:i/>
          <w:iCs/>
          <w:noProof/>
          <w:sz w:val="20"/>
        </w:rPr>
        <w:t xml:space="preserve"> [</w:t>
      </w:r>
      <w:r w:rsidR="00CD1C3F" w:rsidRPr="00175ECF">
        <w:rPr>
          <w:rFonts w:ascii="Book Antiqua" w:hAnsi="Book Antiqua" w:cs="Times New Roman"/>
          <w:i/>
          <w:iCs/>
          <w:noProof/>
          <w:sz w:val="20"/>
        </w:rPr>
        <w:t>Indonesia and the UK strengthen environmental and climate cooperation towards COP29 UNFCCC and COP16 CBD</w:t>
      </w:r>
      <w:r w:rsidR="00CD1C3F">
        <w:rPr>
          <w:rFonts w:ascii="Book Antiqua" w:hAnsi="Book Antiqua" w:cs="Times New Roman"/>
          <w:i/>
          <w:iCs/>
          <w:noProof/>
          <w:sz w:val="20"/>
        </w:rPr>
        <w:t>]</w:t>
      </w:r>
      <w:r w:rsidR="00CD1C3F" w:rsidRPr="008F1E4B">
        <w:rPr>
          <w:rFonts w:ascii="Book Antiqua" w:hAnsi="Book Antiqua" w:cs="Times New Roman"/>
          <w:i/>
          <w:iCs/>
          <w:noProof/>
          <w:sz w:val="20"/>
        </w:rPr>
        <w:t>.</w:t>
      </w:r>
      <w:r w:rsidR="00CD1C3F">
        <w:rPr>
          <w:rFonts w:ascii="Book Antiqua" w:hAnsi="Book Antiqua" w:cs="Times New Roman"/>
          <w:noProof/>
          <w:sz w:val="20"/>
        </w:rPr>
        <w:t xml:space="preserve"> </w:t>
      </w:r>
      <w:hyperlink r:id="rId11" w:history="1">
        <w:r w:rsidR="00CD1C3F" w:rsidRPr="004D685F">
          <w:rPr>
            <w:rStyle w:val="Hyperlink"/>
            <w:rFonts w:ascii="Book Antiqua" w:hAnsi="Book Antiqua" w:cs="Times New Roman"/>
            <w:noProof/>
            <w:sz w:val="20"/>
          </w:rPr>
          <w:t>https://www.menlhk.go.id/news/indonesia-inggris-perkuat-kerja-sama-lingkungan-dan-iklim-menuju-cop-29-unfccc-dan-cop-16-cbd/</w:t>
        </w:r>
      </w:hyperlink>
      <w:r w:rsidR="00CD1C3F">
        <w:rPr>
          <w:rFonts w:ascii="Book Antiqua" w:hAnsi="Book Antiqua" w:cs="Times New Roman"/>
          <w:noProof/>
          <w:sz w:val="20"/>
        </w:rPr>
        <w:t xml:space="preserve"> </w:t>
      </w:r>
    </w:p>
    <w:p w14:paraId="30BB3798" w14:textId="77777777" w:rsidR="00CD1C3F" w:rsidRDefault="00CD1C3F" w:rsidP="00CD1C3F">
      <w:pPr>
        <w:widowControl w:val="0"/>
        <w:autoSpaceDE w:val="0"/>
        <w:autoSpaceDN w:val="0"/>
        <w:adjustRightInd w:val="0"/>
        <w:spacing w:after="0" w:line="240" w:lineRule="auto"/>
        <w:ind w:left="480" w:hanging="480"/>
        <w:jc w:val="both"/>
        <w:rPr>
          <w:rFonts w:ascii="Book Antiqua" w:hAnsi="Book Antiqua" w:cs="Times New Roman"/>
          <w:noProof/>
          <w:sz w:val="20"/>
        </w:rPr>
      </w:pPr>
      <w:r w:rsidRPr="00884A21">
        <w:rPr>
          <w:rFonts w:ascii="Book Antiqua" w:hAnsi="Book Antiqua" w:cs="Times New Roman"/>
          <w:noProof/>
          <w:sz w:val="20"/>
        </w:rPr>
        <w:t xml:space="preserve">Pratama, A. (2021, 2 November). </w:t>
      </w:r>
      <w:r w:rsidRPr="00884A21">
        <w:rPr>
          <w:rFonts w:ascii="Book Antiqua" w:hAnsi="Book Antiqua" w:cs="Times New Roman"/>
          <w:i/>
          <w:iCs/>
          <w:noProof/>
          <w:sz w:val="20"/>
        </w:rPr>
        <w:t>Komponen Banyak Diimpor, RI Jangan Buru-Buru Gencarkan PLTS</w:t>
      </w:r>
      <w:r>
        <w:rPr>
          <w:rFonts w:ascii="Book Antiqua" w:hAnsi="Book Antiqua" w:cs="Times New Roman"/>
          <w:noProof/>
          <w:sz w:val="20"/>
        </w:rPr>
        <w:t xml:space="preserve"> </w:t>
      </w:r>
      <w:r w:rsidRPr="00A958A0">
        <w:rPr>
          <w:rFonts w:ascii="Book Antiqua" w:hAnsi="Book Antiqua" w:cs="Times New Roman"/>
          <w:i/>
          <w:iCs/>
          <w:noProof/>
          <w:sz w:val="20"/>
        </w:rPr>
        <w:t>[Many components are imported, so Indonesia should not rush to increase solar power development].</w:t>
      </w:r>
      <w:r w:rsidRPr="00884A21">
        <w:rPr>
          <w:rFonts w:ascii="Book Antiqua" w:hAnsi="Book Antiqua" w:cs="Times New Roman"/>
          <w:noProof/>
          <w:sz w:val="20"/>
        </w:rPr>
        <w:t xml:space="preserve"> CNBC Indonesia.</w:t>
      </w:r>
      <w:r>
        <w:rPr>
          <w:rFonts w:ascii="Book Antiqua" w:hAnsi="Book Antiqua" w:cs="Times New Roman"/>
          <w:noProof/>
          <w:sz w:val="20"/>
        </w:rPr>
        <w:t xml:space="preserve"> </w:t>
      </w:r>
      <w:hyperlink r:id="rId12" w:history="1">
        <w:r w:rsidRPr="004D685F">
          <w:rPr>
            <w:rStyle w:val="Hyperlink"/>
            <w:rFonts w:ascii="Book Antiqua" w:hAnsi="Book Antiqua" w:cs="Times New Roman"/>
            <w:noProof/>
            <w:sz w:val="20"/>
          </w:rPr>
          <w:t>https://www.cnbcindonesia.com/news/20211102141425-4-288415/komponen-banyak-diimpor-ri-jangan-buru-buru-gencarkan-plts</w:t>
        </w:r>
      </w:hyperlink>
      <w:r>
        <w:rPr>
          <w:rFonts w:ascii="Book Antiqua" w:hAnsi="Book Antiqua" w:cs="Times New Roman"/>
          <w:noProof/>
          <w:sz w:val="20"/>
        </w:rPr>
        <w:t xml:space="preserve"> </w:t>
      </w:r>
    </w:p>
    <w:p w14:paraId="19508BF3" w14:textId="77777777" w:rsidR="00CD1C3F" w:rsidRPr="0029452D" w:rsidRDefault="00CD1C3F" w:rsidP="00CD1C3F">
      <w:pPr>
        <w:widowControl w:val="0"/>
        <w:autoSpaceDE w:val="0"/>
        <w:autoSpaceDN w:val="0"/>
        <w:adjustRightInd w:val="0"/>
        <w:spacing w:after="0" w:line="240" w:lineRule="auto"/>
        <w:ind w:left="480" w:hanging="480"/>
        <w:jc w:val="both"/>
        <w:rPr>
          <w:rFonts w:ascii="Book Antiqua" w:hAnsi="Book Antiqua" w:cs="Times New Roman"/>
          <w:noProof/>
          <w:sz w:val="20"/>
        </w:rPr>
      </w:pPr>
      <w:r w:rsidRPr="00227E8D">
        <w:rPr>
          <w:rFonts w:ascii="Book Antiqua" w:hAnsi="Book Antiqua" w:cs="Times New Roman"/>
          <w:noProof/>
          <w:sz w:val="20"/>
        </w:rPr>
        <w:t xml:space="preserve">UK PACT. (2024). </w:t>
      </w:r>
      <w:r w:rsidRPr="00227E8D">
        <w:rPr>
          <w:rFonts w:ascii="Book Antiqua" w:hAnsi="Book Antiqua" w:cs="Times New Roman"/>
          <w:i/>
          <w:iCs/>
          <w:noProof/>
          <w:sz w:val="20"/>
        </w:rPr>
        <w:t>Indonesia Country Programme: Accelerating Climate Transitions</w:t>
      </w:r>
      <w:r w:rsidRPr="00227E8D">
        <w:rPr>
          <w:rFonts w:ascii="Book Antiqua" w:hAnsi="Book Antiqua" w:cs="Times New Roman"/>
          <w:noProof/>
          <w:sz w:val="20"/>
        </w:rPr>
        <w:t>. UK Foreign, Commonwealth &amp; Development Office.</w:t>
      </w:r>
      <w:r>
        <w:rPr>
          <w:rFonts w:ascii="Book Antiqua" w:hAnsi="Book Antiqua" w:cs="Times New Roman"/>
          <w:noProof/>
          <w:sz w:val="20"/>
        </w:rPr>
        <w:t xml:space="preserve"> </w:t>
      </w:r>
      <w:hyperlink r:id="rId13" w:history="1">
        <w:r w:rsidRPr="004D685F">
          <w:rPr>
            <w:rStyle w:val="Hyperlink"/>
            <w:rFonts w:ascii="Book Antiqua" w:hAnsi="Book Antiqua" w:cs="Times New Roman"/>
            <w:noProof/>
            <w:sz w:val="20"/>
          </w:rPr>
          <w:t>https://www.ukpact.co.uk/country-programme/indonesia</w:t>
        </w:r>
      </w:hyperlink>
      <w:r>
        <w:rPr>
          <w:rFonts w:ascii="Book Antiqua" w:hAnsi="Book Antiqua" w:cs="Times New Roman"/>
          <w:noProof/>
          <w:sz w:val="20"/>
        </w:rPr>
        <w:t xml:space="preserve"> </w:t>
      </w:r>
    </w:p>
    <w:p w14:paraId="4215B8ED" w14:textId="77777777" w:rsidR="00CD1C3F" w:rsidRDefault="00CD1C3F" w:rsidP="00CD1C3F">
      <w:pPr>
        <w:spacing w:after="0" w:line="240" w:lineRule="auto"/>
        <w:ind w:left="482" w:hanging="482"/>
        <w:jc w:val="both"/>
        <w:rPr>
          <w:rFonts w:ascii="Times New Roman" w:eastAsia="Times New Roman" w:hAnsi="Times New Roman" w:cs="Times New Roman"/>
          <w:sz w:val="24"/>
          <w:szCs w:val="24"/>
        </w:rPr>
      </w:pPr>
      <w:r w:rsidRPr="001B0A85">
        <w:rPr>
          <w:rFonts w:ascii="Book Antiqua" w:eastAsia="Book Antiqua" w:hAnsi="Book Antiqua" w:cs="Book Antiqua"/>
          <w:sz w:val="20"/>
          <w:szCs w:val="20"/>
        </w:rPr>
        <w:t xml:space="preserve">United Nations Indonesia. (2022, </w:t>
      </w:r>
      <w:r>
        <w:rPr>
          <w:rFonts w:ascii="Book Antiqua" w:eastAsia="Book Antiqua" w:hAnsi="Book Antiqua" w:cs="Book Antiqua"/>
          <w:sz w:val="20"/>
          <w:szCs w:val="20"/>
        </w:rPr>
        <w:t>January</w:t>
      </w:r>
      <w:r w:rsidRPr="001B0A85">
        <w:rPr>
          <w:rFonts w:ascii="Book Antiqua" w:eastAsia="Book Antiqua" w:hAnsi="Book Antiqua" w:cs="Book Antiqua"/>
          <w:sz w:val="20"/>
          <w:szCs w:val="20"/>
        </w:rPr>
        <w:t xml:space="preserve">). </w:t>
      </w:r>
      <w:r w:rsidRPr="002B16E6">
        <w:rPr>
          <w:rFonts w:ascii="Book Antiqua" w:eastAsia="Book Antiqua" w:hAnsi="Book Antiqua" w:cs="Book Antiqua"/>
          <w:i/>
          <w:iCs/>
          <w:sz w:val="20"/>
          <w:szCs w:val="20"/>
        </w:rPr>
        <w:t>Apa Itu Perubahan Iklim</w:t>
      </w:r>
      <w:r>
        <w:rPr>
          <w:rFonts w:ascii="Book Antiqua" w:eastAsia="Book Antiqua" w:hAnsi="Book Antiqua" w:cs="Book Antiqua"/>
          <w:i/>
          <w:iCs/>
          <w:sz w:val="20"/>
          <w:szCs w:val="20"/>
        </w:rPr>
        <w:t xml:space="preserve"> </w:t>
      </w:r>
      <w:r w:rsidRPr="000C12AA">
        <w:rPr>
          <w:rFonts w:ascii="Book Antiqua" w:eastAsia="Book Antiqua" w:hAnsi="Book Antiqua" w:cs="Book Antiqua"/>
          <w:i/>
          <w:iCs/>
          <w:sz w:val="20"/>
          <w:szCs w:val="20"/>
        </w:rPr>
        <w:t>[What is climate change]</w:t>
      </w:r>
      <w:r w:rsidRPr="001B0A85">
        <w:rPr>
          <w:rFonts w:ascii="Book Antiqua" w:eastAsia="Book Antiqua" w:hAnsi="Book Antiqua" w:cs="Book Antiqua"/>
          <w:sz w:val="20"/>
          <w:szCs w:val="20"/>
        </w:rPr>
        <w:t xml:space="preserve">. </w:t>
      </w:r>
      <w:hyperlink r:id="rId14" w:history="1">
        <w:r w:rsidRPr="008F1DDB">
          <w:rPr>
            <w:rStyle w:val="Hyperlink"/>
            <w:rFonts w:ascii="Book Antiqua" w:eastAsia="Book Antiqua" w:hAnsi="Book Antiqua" w:cs="Book Antiqua"/>
            <w:sz w:val="20"/>
            <w:szCs w:val="20"/>
          </w:rPr>
          <w:t>https://indonesia.un.org/id/172909-apa-itu-perubahan-iklim</w:t>
        </w:r>
      </w:hyperlink>
      <w:r>
        <w:rPr>
          <w:rFonts w:ascii="Times New Roman" w:eastAsia="Times New Roman" w:hAnsi="Times New Roman" w:cs="Times New Roman"/>
          <w:sz w:val="24"/>
          <w:szCs w:val="24"/>
        </w:rPr>
        <w:t xml:space="preserve"> </w:t>
      </w:r>
    </w:p>
    <w:p w14:paraId="0533DDE7" w14:textId="77777777" w:rsidR="002B16E6" w:rsidRDefault="002B16E6" w:rsidP="00CD1C3F">
      <w:pPr>
        <w:spacing w:line="240" w:lineRule="auto"/>
        <w:rPr>
          <w:rFonts w:ascii="Times New Roman" w:eastAsia="Times New Roman" w:hAnsi="Times New Roman" w:cs="Times New Roman"/>
          <w:sz w:val="24"/>
          <w:szCs w:val="24"/>
        </w:rPr>
      </w:pPr>
    </w:p>
    <w:sectPr w:rsidR="002B16E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5D787" w14:textId="77777777" w:rsidR="00267EA0" w:rsidRDefault="00267EA0">
      <w:pPr>
        <w:spacing w:after="0" w:line="240" w:lineRule="auto"/>
      </w:pPr>
      <w:r>
        <w:separator/>
      </w:r>
    </w:p>
  </w:endnote>
  <w:endnote w:type="continuationSeparator" w:id="0">
    <w:p w14:paraId="3B9C2E99" w14:textId="77777777" w:rsidR="00267EA0" w:rsidRDefault="00267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5AE9D66-D32C-4D10-BBF0-4D75044860ED}"/>
    <w:embedBold r:id="rId2" w:fontKey="{00A86869-2DE0-4B96-A873-98F8FC5E6128}"/>
    <w:embedItalic r:id="rId3" w:fontKey="{3841CAC3-40D0-4604-A121-470590028A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2666286-8A2D-4304-A660-F0283BB53860}"/>
    <w:embedItalic r:id="rId5" w:fontKey="{EBE216FE-F04B-41A8-AC7C-D4CD9397E4DF}"/>
  </w:font>
  <w:font w:name="Book Antiqua">
    <w:panose1 w:val="02040602050305030304"/>
    <w:charset w:val="00"/>
    <w:family w:val="roman"/>
    <w:pitch w:val="variable"/>
    <w:sig w:usb0="00000287" w:usb1="00000000" w:usb2="00000000" w:usb3="00000000" w:csb0="0000009F" w:csb1="00000000"/>
    <w:embedRegular r:id="rId6" w:fontKey="{052E9EFF-205E-47C4-8188-59CA3D61AA2E}"/>
    <w:embedBold r:id="rId7" w:fontKey="{A0451D3B-439B-4C62-80F2-9AB5298C9D7D}"/>
    <w:embedItalic r:id="rId8" w:fontKey="{0481FC91-ADEA-40D9-9267-DA4B783DBCA6}"/>
    <w:embedBoldItalic r:id="rId9" w:fontKey="{95B8F2AA-BB7D-4DA2-A241-DB832722DA5B}"/>
  </w:font>
  <w:font w:name="Calibri Light">
    <w:panose1 w:val="020F0302020204030204"/>
    <w:charset w:val="00"/>
    <w:family w:val="swiss"/>
    <w:pitch w:val="variable"/>
    <w:sig w:usb0="E4002EFF" w:usb1="C200247B" w:usb2="00000009" w:usb3="00000000" w:csb0="000001FF" w:csb1="00000000"/>
    <w:embedRegular r:id="rId10" w:fontKey="{6F944C5A-39D0-4081-BA60-A7C750E36C7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EFA27" w14:textId="77777777" w:rsidR="00267EA0" w:rsidRDefault="00267EA0">
      <w:pPr>
        <w:spacing w:after="0" w:line="240" w:lineRule="auto"/>
      </w:pPr>
      <w:r>
        <w:separator/>
      </w:r>
    </w:p>
  </w:footnote>
  <w:footnote w:type="continuationSeparator" w:id="0">
    <w:p w14:paraId="68651792" w14:textId="77777777" w:rsidR="00267EA0" w:rsidRDefault="00267E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C"/>
    <w:rsid w:val="0003368F"/>
    <w:rsid w:val="000C12AA"/>
    <w:rsid w:val="00106BF6"/>
    <w:rsid w:val="00134255"/>
    <w:rsid w:val="00135353"/>
    <w:rsid w:val="001904EB"/>
    <w:rsid w:val="001B0A85"/>
    <w:rsid w:val="001F14AB"/>
    <w:rsid w:val="00206C93"/>
    <w:rsid w:val="00267EA0"/>
    <w:rsid w:val="00280B02"/>
    <w:rsid w:val="002977C0"/>
    <w:rsid w:val="002B16E6"/>
    <w:rsid w:val="002C73EA"/>
    <w:rsid w:val="00357BE6"/>
    <w:rsid w:val="00476F55"/>
    <w:rsid w:val="004876E7"/>
    <w:rsid w:val="004E3000"/>
    <w:rsid w:val="00574331"/>
    <w:rsid w:val="0059200C"/>
    <w:rsid w:val="005B2CB3"/>
    <w:rsid w:val="005D281F"/>
    <w:rsid w:val="005D4E4C"/>
    <w:rsid w:val="006307E1"/>
    <w:rsid w:val="00696A85"/>
    <w:rsid w:val="006A2FF8"/>
    <w:rsid w:val="006C75AF"/>
    <w:rsid w:val="006E4772"/>
    <w:rsid w:val="0071134E"/>
    <w:rsid w:val="007345FA"/>
    <w:rsid w:val="007D14F9"/>
    <w:rsid w:val="007F0EF0"/>
    <w:rsid w:val="007F752B"/>
    <w:rsid w:val="00822427"/>
    <w:rsid w:val="008E7F29"/>
    <w:rsid w:val="009178ED"/>
    <w:rsid w:val="00924CDE"/>
    <w:rsid w:val="0099255B"/>
    <w:rsid w:val="009D77B0"/>
    <w:rsid w:val="00A227CB"/>
    <w:rsid w:val="00A368D8"/>
    <w:rsid w:val="00A37CBB"/>
    <w:rsid w:val="00A404FC"/>
    <w:rsid w:val="00A624AD"/>
    <w:rsid w:val="00A958A0"/>
    <w:rsid w:val="00AD154F"/>
    <w:rsid w:val="00B11F8C"/>
    <w:rsid w:val="00B41817"/>
    <w:rsid w:val="00B43415"/>
    <w:rsid w:val="00B47CC7"/>
    <w:rsid w:val="00BE2D94"/>
    <w:rsid w:val="00C13E98"/>
    <w:rsid w:val="00C30741"/>
    <w:rsid w:val="00C32838"/>
    <w:rsid w:val="00C92394"/>
    <w:rsid w:val="00C97C22"/>
    <w:rsid w:val="00CB60AE"/>
    <w:rsid w:val="00CD1C3F"/>
    <w:rsid w:val="00D875C7"/>
    <w:rsid w:val="00DA1552"/>
    <w:rsid w:val="00E754C7"/>
    <w:rsid w:val="00E951D2"/>
    <w:rsid w:val="00EF2B5C"/>
    <w:rsid w:val="00F36417"/>
    <w:rsid w:val="00F56850"/>
    <w:rsid w:val="00FA4E5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28E0F"/>
  <w15:docId w15:val="{3E5465A6-24A1-482F-A762-200A3605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6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904EB"/>
    <w:rPr>
      <w:color w:val="0563C1" w:themeColor="hyperlink"/>
      <w:u w:val="single"/>
    </w:rPr>
  </w:style>
  <w:style w:type="character" w:styleId="UnresolvedMention">
    <w:name w:val="Unresolved Mention"/>
    <w:basedOn w:val="DefaultParagraphFont"/>
    <w:uiPriority w:val="99"/>
    <w:semiHidden/>
    <w:unhideWhenUsed/>
    <w:rsid w:val="001904EB"/>
    <w:rPr>
      <w:color w:val="605E5C"/>
      <w:shd w:val="clear" w:color="auto" w:fill="E1DFDD"/>
    </w:rPr>
  </w:style>
  <w:style w:type="character" w:styleId="FollowedHyperlink">
    <w:name w:val="FollowedHyperlink"/>
    <w:basedOn w:val="DefaultParagraphFont"/>
    <w:uiPriority w:val="99"/>
    <w:semiHidden/>
    <w:unhideWhenUsed/>
    <w:rsid w:val="001B0A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yahpitaloka801@gmail.com" TargetMode="External"/><Relationship Id="rId13" Type="http://schemas.openxmlformats.org/officeDocument/2006/relationships/hyperlink" Target="https://www.ukpact.co.uk/country-programme/indones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nbcindonesia.com/news/20211102141425-4-288415/komponen-banyak-diimpor-ri-jangan-buru-buru-gencarkan-pl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lhk.go.id/news/indonesia-inggris-perkuat-kerja-sama-lingkungan-dan-iklim-menuju-cop-29-unfccc-dan-cop-16-cb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emenlh.go.id/news/detail/indonesia-inggris-perkuat-kerja-sama-iklim-dan-lingkungan-dorong-pasar-karbon-dan-transisi-energi-berkeadilan" TargetMode="External"/><Relationship Id="rId4" Type="http://schemas.openxmlformats.org/officeDocument/2006/relationships/settings" Target="settings.xml"/><Relationship Id="rId9" Type="http://schemas.openxmlformats.org/officeDocument/2006/relationships/hyperlink" Target="mailto:efendirasel@gmail.com" TargetMode="External"/><Relationship Id="rId14" Type="http://schemas.openxmlformats.org/officeDocument/2006/relationships/hyperlink" Target="https://indonesia.un.org/id/172909-apa-itu-perubahan-ikli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7WbGsagGIXrGNLO5P+Lw1xsw==">CgMxLjA4AHIhMWpiNWtXb0ZVR3lWSEp0eTVleml2X1hCaUM3YW9JMTFv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FE2049-FE0A-4A9D-AC88-8D1387C01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16988</Words>
  <Characters>107027</Characters>
  <Application>Microsoft Office Word</Application>
  <DocSecurity>0</DocSecurity>
  <Lines>1466</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diyah</cp:lastModifiedBy>
  <cp:revision>1</cp:revision>
  <dcterms:created xsi:type="dcterms:W3CDTF">2025-08-13T12:50:00Z</dcterms:created>
  <dcterms:modified xsi:type="dcterms:W3CDTF">2025-08-18T09:40:00Z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7b3471b9-0ac7-488a-b03d-4a8b4eff3e04</vt:lpwstr>
  </property>
  <property fmtid="{D5CDD505-2E9C-101B-9397-08002B2CF9AE}" pid="3" name="Mendeley Document_1">
    <vt:lpwstr>True</vt:lpwstr>
  </property>
  <property fmtid="{D5CDD505-2E9C-101B-9397-08002B2CF9AE}" pid="4" name="Mendeley Unique User Id_1">
    <vt:lpwstr>bf7b24c0-2324-3b8b-98c0-ab83d9cae863</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